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E5" w:rsidRPr="007200A7" w:rsidRDefault="009C4736" w:rsidP="00B23C16">
      <w:pPr>
        <w:pStyle w:val="Heading1"/>
        <w:spacing w:before="0" w:after="120" w:line="276" w:lineRule="auto"/>
        <w:rPr>
          <w:rFonts w:ascii="Verdana" w:hAnsi="Verdana"/>
          <w:b w:val="0"/>
          <w:color w:val="183850" w:themeColor="text1"/>
          <w:sz w:val="34"/>
          <w:szCs w:val="34"/>
        </w:rPr>
      </w:pPr>
      <w:r w:rsidRPr="007200A7">
        <w:rPr>
          <w:rFonts w:ascii="Verdana" w:hAnsi="Verdana"/>
          <w:b w:val="0"/>
          <w:color w:val="183850" w:themeColor="text1"/>
          <w:sz w:val="34"/>
          <w:szCs w:val="34"/>
        </w:rPr>
        <w:t>LOCAL PEN</w:t>
      </w:r>
      <w:r w:rsidRPr="007200A7">
        <w:rPr>
          <w:rFonts w:ascii="Verdana" w:hAnsi="Verdana"/>
          <w:b w:val="0"/>
          <w:color w:val="183850" w:themeColor="text1"/>
          <w:sz w:val="34"/>
          <w:szCs w:val="34"/>
        </w:rPr>
        <w:t>SIONS PARTNERSHIP INVESTMENTS LIMITED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8"/>
      </w:tblGrid>
      <w:tr w:rsidR="0015409A" w:rsidTr="00506F9B">
        <w:tc>
          <w:tcPr>
            <w:tcW w:w="5353" w:type="dxa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8"/>
              </w:rPr>
            </w:pP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8"/>
              </w:rPr>
              <w:t>Lancashire County Pension Fund</w:t>
            </w:r>
          </w:p>
        </w:tc>
        <w:tc>
          <w:tcPr>
            <w:tcW w:w="4428" w:type="dxa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8"/>
              </w:rPr>
            </w:pPr>
          </w:p>
        </w:tc>
      </w:tr>
      <w:tr w:rsidR="0015409A" w:rsidTr="00506F9B">
        <w:tc>
          <w:tcPr>
            <w:tcW w:w="9781" w:type="dxa"/>
            <w:gridSpan w:val="2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4"/>
              </w:rPr>
            </w:pPr>
          </w:p>
        </w:tc>
      </w:tr>
      <w:tr w:rsidR="0015409A" w:rsidTr="00506F9B">
        <w:tc>
          <w:tcPr>
            <w:tcW w:w="5353" w:type="dxa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8"/>
              </w:rPr>
            </w:pP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8"/>
              </w:rPr>
              <w:t>Pension Fund Committee</w:t>
            </w:r>
          </w:p>
        </w:tc>
        <w:tc>
          <w:tcPr>
            <w:tcW w:w="4428" w:type="dxa"/>
          </w:tcPr>
          <w:p w:rsidR="00197BA3" w:rsidRPr="007200A7" w:rsidRDefault="009C4736" w:rsidP="003A059C">
            <w:pPr>
              <w:tabs>
                <w:tab w:val="left" w:pos="2830"/>
                <w:tab w:val="right" w:pos="4212"/>
              </w:tabs>
              <w:jc w:val="right"/>
              <w:rPr>
                <w:rFonts w:ascii="Verdana" w:hAnsi="Verdana"/>
                <w:b/>
                <w:bCs/>
                <w:iCs/>
                <w:color w:val="183850" w:themeColor="text1"/>
                <w:sz w:val="24"/>
              </w:rPr>
            </w:pPr>
            <w:r>
              <w:rPr>
                <w:rFonts w:ascii="Verdana" w:hAnsi="Verdana"/>
                <w:b/>
                <w:bCs/>
                <w:iCs/>
                <w:color w:val="183850" w:themeColor="text1"/>
                <w:sz w:val="24"/>
              </w:rPr>
              <w:t>8 June</w:t>
            </w:r>
            <w:r>
              <w:rPr>
                <w:rFonts w:ascii="Verdana" w:hAnsi="Verdana"/>
                <w:b/>
                <w:bCs/>
                <w:iCs/>
                <w:color w:val="183850" w:themeColor="text1"/>
                <w:sz w:val="24"/>
              </w:rPr>
              <w:t xml:space="preserve"> 2018</w:t>
            </w:r>
          </w:p>
        </w:tc>
      </w:tr>
      <w:tr w:rsidR="0015409A" w:rsidTr="00506F9B">
        <w:tc>
          <w:tcPr>
            <w:tcW w:w="5353" w:type="dxa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4"/>
                <w:szCs w:val="24"/>
              </w:rPr>
            </w:pP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4"/>
                <w:szCs w:val="24"/>
              </w:rPr>
              <w:t>Responsible Investment Report</w:t>
            </w:r>
          </w:p>
        </w:tc>
        <w:tc>
          <w:tcPr>
            <w:tcW w:w="4428" w:type="dxa"/>
          </w:tcPr>
          <w:p w:rsidR="00197BA3" w:rsidRPr="007200A7" w:rsidRDefault="009C4736" w:rsidP="00506F9B">
            <w:pPr>
              <w:jc w:val="right"/>
              <w:rPr>
                <w:rFonts w:ascii="Verdana" w:hAnsi="Verdana"/>
                <w:b/>
                <w:bCs/>
                <w:iCs/>
                <w:color w:val="18385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7BA3" w:rsidRPr="007200A7" w:rsidRDefault="009C4736" w:rsidP="00197BA3">
      <w:pPr>
        <w:rPr>
          <w:rFonts w:ascii="Verdana" w:hAnsi="Verdana"/>
          <w:bCs/>
          <w:iCs/>
          <w:color w:val="183850" w:themeColor="text1"/>
        </w:rPr>
      </w:pPr>
      <w:r w:rsidRPr="007200A7">
        <w:rPr>
          <w:rFonts w:ascii="Verdana" w:hAnsi="Verdana"/>
          <w:bCs/>
          <w:iCs/>
          <w:color w:val="183850" w:themeColor="text1"/>
        </w:rPr>
        <w:tab/>
      </w:r>
      <w:r w:rsidRPr="007200A7">
        <w:rPr>
          <w:rFonts w:ascii="Verdana" w:hAnsi="Verdana"/>
          <w:bCs/>
          <w:iCs/>
          <w:color w:val="183850" w:themeColor="text1"/>
        </w:rPr>
        <w:tab/>
      </w:r>
      <w:r w:rsidRPr="007200A7">
        <w:rPr>
          <w:rFonts w:ascii="Verdana" w:hAnsi="Verdana"/>
          <w:bCs/>
          <w:iCs/>
          <w:color w:val="183850" w:themeColor="text1"/>
        </w:rPr>
        <w:tab/>
        <w:t xml:space="preserve"> </w:t>
      </w:r>
      <w:r w:rsidRPr="007200A7">
        <w:rPr>
          <w:rFonts w:ascii="Verdana" w:hAnsi="Verdana"/>
          <w:bCs/>
          <w:iCs/>
          <w:color w:val="183850" w:themeColor="text1"/>
        </w:rPr>
        <w:tab/>
      </w:r>
      <w:r w:rsidRPr="007200A7">
        <w:rPr>
          <w:rFonts w:ascii="Verdana" w:hAnsi="Verdana"/>
          <w:bCs/>
          <w:iCs/>
          <w:color w:val="183850" w:themeColor="text1"/>
        </w:rPr>
        <w:tab/>
      </w:r>
    </w:p>
    <w:tbl>
      <w:tblPr>
        <w:tblStyle w:val="TableGrid"/>
        <w:tblW w:w="975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229"/>
      </w:tblGrid>
      <w:tr w:rsidR="0015409A" w:rsidTr="00506F9B">
        <w:trPr>
          <w:trHeight w:val="461"/>
        </w:trPr>
        <w:tc>
          <w:tcPr>
            <w:tcW w:w="2523" w:type="dxa"/>
            <w:shd w:val="clear" w:color="auto" w:fill="F2F2F2" w:themeFill="background1" w:themeFillShade="F2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  <w:t>Title of Paper</w:t>
            </w:r>
          </w:p>
        </w:tc>
        <w:tc>
          <w:tcPr>
            <w:tcW w:w="7229" w:type="dxa"/>
          </w:tcPr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>Quarterly Report on Responsible Investment</w:t>
            </w:r>
            <w: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 xml:space="preserve"> (201</w:t>
            </w:r>
            <w: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>8</w:t>
            </w:r>
            <w: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 xml:space="preserve"> Q</w:t>
            </w:r>
            <w: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>)</w:t>
            </w:r>
          </w:p>
        </w:tc>
      </w:tr>
      <w:tr w:rsidR="0015409A" w:rsidTr="00506F9B">
        <w:trPr>
          <w:trHeight w:val="632"/>
        </w:trPr>
        <w:tc>
          <w:tcPr>
            <w:tcW w:w="2523" w:type="dxa"/>
            <w:shd w:val="clear" w:color="auto" w:fill="F2F2F2" w:themeFill="background1" w:themeFillShade="F2"/>
          </w:tcPr>
          <w:p w:rsidR="00197BA3" w:rsidRPr="007200A7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  <w:t xml:space="preserve">Lead </w:t>
            </w:r>
            <w:r w:rsidRPr="007200A7"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  <w:t>Officer:</w:t>
            </w:r>
          </w:p>
        </w:tc>
        <w:tc>
          <w:tcPr>
            <w:tcW w:w="7229" w:type="dxa"/>
          </w:tcPr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 xml:space="preserve">Frances Deakin </w:t>
            </w:r>
          </w:p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 xml:space="preserve">Responsible Investment </w:t>
            </w:r>
            <w:r w:rsidRPr="007200A7"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>Manager</w:t>
            </w:r>
          </w:p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  <w:r w:rsidRPr="007200A7"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  <w:t xml:space="preserve">Local Pensions Partnership Investments Ltd </w:t>
            </w:r>
          </w:p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  <w:hyperlink r:id="rId8" w:history="1">
              <w:r w:rsidRPr="007200A7">
                <w:rPr>
                  <w:rStyle w:val="Hyperlink"/>
                  <w:rFonts w:ascii="Verdana" w:hAnsi="Verdana"/>
                  <w:bCs/>
                  <w:iCs/>
                  <w:color w:val="183850" w:themeColor="text1"/>
                  <w:sz w:val="20"/>
                  <w:szCs w:val="20"/>
                </w:rPr>
                <w:t>frances.deakin@localpensionspartnership.org.uk</w:t>
              </w:r>
            </w:hyperlink>
          </w:p>
          <w:p w:rsidR="00197BA3" w:rsidRPr="007200A7" w:rsidRDefault="009C4736" w:rsidP="00506F9B">
            <w:pPr>
              <w:rPr>
                <w:rFonts w:ascii="Verdana" w:hAnsi="Verdana"/>
                <w:bCs/>
                <w:iCs/>
                <w:color w:val="183850" w:themeColor="text1"/>
                <w:sz w:val="20"/>
                <w:szCs w:val="20"/>
              </w:rPr>
            </w:pPr>
          </w:p>
        </w:tc>
      </w:tr>
      <w:tr w:rsidR="0015409A" w:rsidTr="00506F9B">
        <w:trPr>
          <w:trHeight w:val="456"/>
        </w:trPr>
        <w:tc>
          <w:tcPr>
            <w:tcW w:w="2523" w:type="dxa"/>
            <w:shd w:val="clear" w:color="auto" w:fill="F2F2F2" w:themeFill="background1" w:themeFillShade="F2"/>
          </w:tcPr>
          <w:p w:rsidR="00197BA3" w:rsidRPr="00610859" w:rsidRDefault="009C4736" w:rsidP="00506F9B">
            <w:pPr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</w:pPr>
            <w:r w:rsidRPr="00610859"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  <w:t xml:space="preserve">Appendices </w:t>
            </w:r>
          </w:p>
        </w:tc>
        <w:tc>
          <w:tcPr>
            <w:tcW w:w="7229" w:type="dxa"/>
          </w:tcPr>
          <w:p w:rsidR="00497FA5" w:rsidRPr="00692968" w:rsidRDefault="009C4736" w:rsidP="008B3A19">
            <w:pPr>
              <w:ind w:left="1338" w:hanging="133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None</w:t>
            </w:r>
          </w:p>
          <w:p w:rsidR="00497FA5" w:rsidRDefault="009C4736" w:rsidP="00497FA5">
            <w:pPr>
              <w:ind w:left="1338" w:hanging="1338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</w:p>
          <w:p w:rsidR="00A8013C" w:rsidRPr="00610859" w:rsidRDefault="009C4736" w:rsidP="008B3A19">
            <w:pPr>
              <w:ind w:left="1338" w:hanging="1338"/>
              <w:rPr>
                <w:rFonts w:ascii="Verdana" w:hAnsi="Verdana"/>
                <w:b/>
                <w:bCs/>
                <w:iCs/>
                <w:color w:val="183850" w:themeColor="text1"/>
                <w:sz w:val="20"/>
                <w:szCs w:val="20"/>
              </w:rPr>
            </w:pPr>
          </w:p>
        </w:tc>
      </w:tr>
    </w:tbl>
    <w:p w:rsidR="00B23C16" w:rsidRPr="007200A7" w:rsidRDefault="009C4736" w:rsidP="00320885">
      <w:pPr>
        <w:spacing w:after="0" w:line="240" w:lineRule="auto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</w:p>
    <w:p w:rsidR="00E04E31" w:rsidRDefault="009C4736" w:rsidP="008E62D7">
      <w:pPr>
        <w:pStyle w:val="treb"/>
        <w:numPr>
          <w:ilvl w:val="0"/>
          <w:numId w:val="5"/>
        </w:numPr>
        <w:spacing w:after="0"/>
        <w:ind w:left="0" w:firstLine="0"/>
        <w:rPr>
          <w:rFonts w:ascii="Verdana" w:hAnsi="Verdana"/>
          <w:color w:val="54BBAB" w:themeColor="text2"/>
          <w:sz w:val="20"/>
          <w:szCs w:val="20"/>
        </w:rPr>
      </w:pPr>
      <w:r w:rsidRPr="008E62D7">
        <w:rPr>
          <w:rFonts w:ascii="Verdana" w:hAnsi="Verdana"/>
          <w:color w:val="54BBAB" w:themeColor="text2"/>
          <w:sz w:val="20"/>
          <w:szCs w:val="20"/>
        </w:rPr>
        <w:t xml:space="preserve">Executive </w:t>
      </w:r>
      <w:r w:rsidRPr="008E62D7">
        <w:rPr>
          <w:rFonts w:ascii="Verdana" w:hAnsi="Verdana"/>
          <w:color w:val="54BBAB" w:themeColor="text2"/>
          <w:sz w:val="20"/>
          <w:szCs w:val="20"/>
        </w:rPr>
        <w:t>Summary</w:t>
      </w:r>
    </w:p>
    <w:p w:rsidR="00197BA3" w:rsidRPr="007200A7" w:rsidRDefault="009C4736" w:rsidP="003B4083">
      <w:pPr>
        <w:pStyle w:val="treb"/>
        <w:numPr>
          <w:ilvl w:val="0"/>
          <w:numId w:val="0"/>
        </w:numPr>
        <w:spacing w:after="0"/>
        <w:rPr>
          <w:rFonts w:ascii="Verdana" w:hAnsi="Verdana"/>
          <w:b w:val="0"/>
          <w:color w:val="183850" w:themeColor="text1"/>
          <w:sz w:val="20"/>
          <w:szCs w:val="20"/>
        </w:rPr>
      </w:pPr>
    </w:p>
    <w:p w:rsidR="00197BA3" w:rsidRPr="007200A7" w:rsidRDefault="009C4736" w:rsidP="003B4083">
      <w:pPr>
        <w:pStyle w:val="treb"/>
        <w:numPr>
          <w:ilvl w:val="0"/>
          <w:numId w:val="0"/>
        </w:numPr>
        <w:spacing w:after="0"/>
        <w:rPr>
          <w:rFonts w:ascii="Verdana" w:hAnsi="Verdana"/>
          <w:b w:val="0"/>
          <w:color w:val="183850" w:themeColor="text1"/>
          <w:sz w:val="20"/>
          <w:szCs w:val="20"/>
        </w:rPr>
      </w:pPr>
      <w:r w:rsidRPr="007200A7">
        <w:rPr>
          <w:rFonts w:ascii="Verdana" w:hAnsi="Verdana"/>
          <w:b w:val="0"/>
          <w:color w:val="183850" w:themeColor="text1"/>
          <w:sz w:val="20"/>
          <w:szCs w:val="20"/>
        </w:rPr>
        <w:t>This report provides members of the Pension Fund Committee of Lancashire County Pension Fund (LCPF) with a quarterly update on Responsible Investment (RI) matters.</w:t>
      </w:r>
    </w:p>
    <w:p w:rsidR="00197BA3" w:rsidRPr="007200A7" w:rsidRDefault="009C4736" w:rsidP="003B4083">
      <w:pPr>
        <w:pStyle w:val="treb"/>
        <w:numPr>
          <w:ilvl w:val="0"/>
          <w:numId w:val="0"/>
        </w:numPr>
        <w:spacing w:after="0"/>
        <w:rPr>
          <w:rFonts w:ascii="Verdana" w:hAnsi="Verdana"/>
          <w:b w:val="0"/>
          <w:color w:val="183850" w:themeColor="text1"/>
          <w:sz w:val="20"/>
          <w:szCs w:val="20"/>
        </w:rPr>
      </w:pPr>
    </w:p>
    <w:p w:rsidR="00320885" w:rsidRPr="008E62D7" w:rsidRDefault="009C4736" w:rsidP="008E62D7">
      <w:pPr>
        <w:pStyle w:val="treb"/>
        <w:numPr>
          <w:ilvl w:val="0"/>
          <w:numId w:val="5"/>
        </w:numPr>
        <w:spacing w:after="0"/>
        <w:ind w:left="0" w:firstLine="0"/>
        <w:rPr>
          <w:rFonts w:ascii="Verdana" w:hAnsi="Verdana"/>
          <w:color w:val="54BBAB" w:themeColor="text2"/>
          <w:sz w:val="20"/>
          <w:szCs w:val="20"/>
        </w:rPr>
      </w:pPr>
      <w:r w:rsidRPr="008E62D7">
        <w:rPr>
          <w:rFonts w:ascii="Verdana" w:hAnsi="Verdana"/>
          <w:color w:val="54BBAB" w:themeColor="text2"/>
          <w:sz w:val="20"/>
          <w:szCs w:val="20"/>
        </w:rPr>
        <w:t>Introduction</w:t>
      </w:r>
    </w:p>
    <w:p w:rsidR="00197BA3" w:rsidRPr="007200A7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183850" w:themeColor="text1"/>
          <w:sz w:val="20"/>
          <w:szCs w:val="20"/>
        </w:rPr>
      </w:pPr>
    </w:p>
    <w:p w:rsidR="00197BA3" w:rsidRPr="007200A7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  <w:r w:rsidRPr="007200A7">
        <w:rPr>
          <w:rFonts w:ascii="Verdana" w:hAnsi="Verdana"/>
          <w:color w:val="183850" w:themeColor="text1"/>
          <w:sz w:val="20"/>
          <w:szCs w:val="20"/>
        </w:rPr>
        <w:t xml:space="preserve">The Fund's approach to RI 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has been </w:t>
      </w:r>
      <w:r>
        <w:rPr>
          <w:rFonts w:ascii="Verdana" w:hAnsi="Verdana"/>
          <w:color w:val="183850" w:themeColor="text1"/>
          <w:sz w:val="20"/>
          <w:szCs w:val="20"/>
        </w:rPr>
        <w:t>articulated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 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within </w:t>
      </w:r>
      <w:r w:rsidRPr="007200A7">
        <w:rPr>
          <w:rFonts w:ascii="Verdana" w:hAnsi="Verdana"/>
          <w:color w:val="183850" w:themeColor="text1"/>
          <w:sz w:val="20"/>
          <w:szCs w:val="20"/>
        </w:rPr>
        <w:t>an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 Investment 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Strategy Statement </w:t>
      </w:r>
      <w:r>
        <w:rPr>
          <w:rFonts w:ascii="Verdana" w:hAnsi="Verdana"/>
          <w:color w:val="183850" w:themeColor="text1"/>
          <w:sz w:val="20"/>
          <w:szCs w:val="20"/>
        </w:rPr>
        <w:t xml:space="preserve">(ISS) 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which </w:t>
      </w:r>
      <w:r w:rsidRPr="007200A7">
        <w:rPr>
          <w:rFonts w:ascii="Verdana" w:hAnsi="Verdana"/>
          <w:color w:val="183850" w:themeColor="text1"/>
          <w:sz w:val="20"/>
          <w:szCs w:val="20"/>
        </w:rPr>
        <w:t xml:space="preserve">confirms that the objective of RI is to decrease investor risk, improve risk-adjusted returns and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>assist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 the Fund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's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>adhere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>nce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 to the UK Stewardship Code. 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The Fund’s ISS is due to be updated to reference </w:t>
      </w:r>
      <w:r>
        <w:rPr>
          <w:rFonts w:ascii="Verdana" w:hAnsi="Verdana" w:cs="TT3B97o00"/>
          <w:color w:val="183850" w:themeColor="text1"/>
          <w:sz w:val="20"/>
          <w:szCs w:val="20"/>
        </w:rPr>
        <w:t>the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 Responsible Invest</w:t>
      </w:r>
      <w:r>
        <w:rPr>
          <w:rFonts w:ascii="Verdana" w:hAnsi="Verdana" w:cs="TT3B97o00"/>
          <w:color w:val="183850" w:themeColor="text1"/>
          <w:sz w:val="20"/>
          <w:szCs w:val="20"/>
        </w:rPr>
        <w:t>ment Policy agreed by the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 Pension Fund Committee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 at its last meeting in March 2018.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 </w:t>
      </w:r>
    </w:p>
    <w:p w:rsidR="00A05E4A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 w:cs="TT3B97o00"/>
          <w:color w:val="183850" w:themeColor="text1"/>
          <w:sz w:val="20"/>
          <w:szCs w:val="20"/>
        </w:rPr>
      </w:pPr>
    </w:p>
    <w:p w:rsidR="00197BA3" w:rsidRPr="00601570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 w:cs="TT3B97o00"/>
          <w:color w:val="183850" w:themeColor="text1"/>
          <w:sz w:val="20"/>
          <w:szCs w:val="20"/>
        </w:rPr>
      </w:pP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The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Fund's </w:t>
      </w:r>
      <w:r>
        <w:rPr>
          <w:rFonts w:ascii="Verdana" w:hAnsi="Verdana" w:cs="TT3B97o00"/>
          <w:color w:val="183850" w:themeColor="text1"/>
          <w:sz w:val="20"/>
          <w:szCs w:val="20"/>
        </w:rPr>
        <w:t xml:space="preserve">preferred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approach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to RI 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>encompasses</w:t>
      </w:r>
      <w:r w:rsidRPr="007200A7">
        <w:rPr>
          <w:rFonts w:ascii="Verdana" w:hAnsi="Verdana" w:cs="TT3B97o00"/>
          <w:color w:val="183850" w:themeColor="text1"/>
          <w:sz w:val="20"/>
          <w:szCs w:val="20"/>
        </w:rPr>
        <w:t xml:space="preserve"> four main areas of activity:</w:t>
      </w:r>
    </w:p>
    <w:p w:rsidR="00197BA3" w:rsidRPr="007200A7" w:rsidRDefault="009C4736" w:rsidP="003B40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  <w:r w:rsidRPr="007200A7">
        <w:rPr>
          <w:rFonts w:ascii="Verdana" w:hAnsi="Verdana" w:cs="TT3BA2o00"/>
          <w:color w:val="183850" w:themeColor="text1"/>
          <w:sz w:val="20"/>
          <w:szCs w:val="20"/>
        </w:rPr>
        <w:t>Voting Globally</w:t>
      </w:r>
    </w:p>
    <w:p w:rsidR="00197BA3" w:rsidRPr="007200A7" w:rsidRDefault="009C4736" w:rsidP="003B40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  <w:r w:rsidRPr="007200A7">
        <w:rPr>
          <w:rFonts w:ascii="Verdana" w:hAnsi="Verdana" w:cs="TT3BA2o00"/>
          <w:color w:val="183850" w:themeColor="text1"/>
          <w:sz w:val="20"/>
          <w:szCs w:val="20"/>
        </w:rPr>
        <w:t>Engagement through Partnerships</w:t>
      </w:r>
    </w:p>
    <w:p w:rsidR="00197BA3" w:rsidRPr="007200A7" w:rsidRDefault="009C4736" w:rsidP="003B40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  <w:r w:rsidRPr="007200A7">
        <w:rPr>
          <w:rFonts w:ascii="Verdana" w:hAnsi="Verdana" w:cs="TT3BA2o00"/>
          <w:color w:val="183850" w:themeColor="text1"/>
          <w:sz w:val="20"/>
          <w:szCs w:val="20"/>
        </w:rPr>
        <w:t>Shareholder Litigation</w:t>
      </w:r>
    </w:p>
    <w:p w:rsidR="00197BA3" w:rsidRPr="007200A7" w:rsidRDefault="009C4736" w:rsidP="003B40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  <w:r w:rsidRPr="007200A7">
        <w:rPr>
          <w:rFonts w:ascii="Verdana" w:hAnsi="Verdana" w:cs="TT3BA2o00"/>
          <w:color w:val="183850" w:themeColor="text1"/>
          <w:sz w:val="20"/>
          <w:szCs w:val="20"/>
        </w:rPr>
        <w:t>Active Investing</w:t>
      </w:r>
    </w:p>
    <w:p w:rsidR="006403C0" w:rsidRPr="007200A7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 w:cs="TT3B97o00"/>
          <w:color w:val="183850" w:themeColor="text1"/>
          <w:sz w:val="20"/>
          <w:szCs w:val="20"/>
        </w:rPr>
      </w:pPr>
    </w:p>
    <w:p w:rsidR="00197BA3" w:rsidRPr="00692968" w:rsidRDefault="009C4736" w:rsidP="00692968">
      <w:pPr>
        <w:pStyle w:val="treb"/>
        <w:numPr>
          <w:ilvl w:val="0"/>
          <w:numId w:val="0"/>
        </w:numPr>
        <w:spacing w:after="0"/>
        <w:rPr>
          <w:rFonts w:ascii="Verdana" w:hAnsi="Verdana"/>
          <w:b w:val="0"/>
          <w:color w:val="183850" w:themeColor="text1"/>
          <w:sz w:val="20"/>
          <w:szCs w:val="20"/>
        </w:rPr>
      </w:pP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Responsibility for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the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practical implementation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of the Fund's approach to RI is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devolved to L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ocal Pensions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P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artnership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I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nvestments Ltd (LPP I)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as LCPF's provider of investment management services.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The report which follows provides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the committee with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an update on RI activity 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>during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the period 1st </w:t>
      </w:r>
      <w:r>
        <w:rPr>
          <w:rFonts w:ascii="Verdana" w:hAnsi="Verdana"/>
          <w:b w:val="0"/>
          <w:color w:val="183850" w:themeColor="text1"/>
          <w:sz w:val="20"/>
          <w:szCs w:val="20"/>
        </w:rPr>
        <w:t>January to 31</w:t>
      </w:r>
      <w:r w:rsidRPr="005D1E35">
        <w:rPr>
          <w:rFonts w:ascii="Verdana" w:hAnsi="Verdana"/>
          <w:b w:val="0"/>
          <w:color w:val="183850" w:themeColor="text1"/>
          <w:sz w:val="20"/>
          <w:szCs w:val="20"/>
          <w:vertAlign w:val="superscript"/>
        </w:rPr>
        <w:t>st</w:t>
      </w:r>
      <w:r>
        <w:rPr>
          <w:rFonts w:ascii="Verdana" w:hAnsi="Verdana"/>
          <w:b w:val="0"/>
          <w:color w:val="183850" w:themeColor="text1"/>
          <w:sz w:val="20"/>
          <w:szCs w:val="20"/>
        </w:rPr>
        <w:t xml:space="preserve"> March</w:t>
      </w:r>
      <w:r>
        <w:rPr>
          <w:rFonts w:ascii="Verdana" w:hAnsi="Verdana"/>
          <w:b w:val="0"/>
          <w:color w:val="183850" w:themeColor="text1"/>
          <w:sz w:val="20"/>
          <w:szCs w:val="20"/>
        </w:rPr>
        <w:t xml:space="preserve"> 2018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 plus insight on current and emerging issues</w:t>
      </w:r>
      <w:r w:rsidRPr="00692968">
        <w:rPr>
          <w:rFonts w:ascii="Verdana" w:hAnsi="Verdana"/>
          <w:b w:val="0"/>
          <w:color w:val="183850" w:themeColor="text1"/>
          <w:sz w:val="20"/>
          <w:szCs w:val="20"/>
        </w:rPr>
        <w:t xml:space="preserve">. </w:t>
      </w:r>
    </w:p>
    <w:p w:rsidR="00F83B47" w:rsidRPr="007200A7" w:rsidRDefault="009C4736" w:rsidP="003B4083">
      <w:pPr>
        <w:autoSpaceDE w:val="0"/>
        <w:autoSpaceDN w:val="0"/>
        <w:adjustRightInd w:val="0"/>
        <w:spacing w:after="0"/>
        <w:jc w:val="both"/>
        <w:rPr>
          <w:rFonts w:ascii="Verdana" w:hAnsi="Verdana" w:cs="TT3BA2o00"/>
          <w:color w:val="183850" w:themeColor="text1"/>
          <w:sz w:val="20"/>
          <w:szCs w:val="20"/>
        </w:rPr>
      </w:pPr>
    </w:p>
    <w:p w:rsidR="00197BA3" w:rsidRPr="008E62D7" w:rsidRDefault="009C4736" w:rsidP="008E62D7">
      <w:pPr>
        <w:pStyle w:val="treb"/>
        <w:numPr>
          <w:ilvl w:val="0"/>
          <w:numId w:val="5"/>
        </w:numPr>
        <w:spacing w:after="0"/>
        <w:ind w:left="0" w:firstLine="0"/>
        <w:rPr>
          <w:rFonts w:ascii="Verdana" w:hAnsi="Verdana"/>
          <w:color w:val="54BBAB" w:themeColor="text2"/>
          <w:sz w:val="20"/>
          <w:szCs w:val="20"/>
        </w:rPr>
      </w:pPr>
      <w:r w:rsidRPr="008E62D7">
        <w:rPr>
          <w:rFonts w:ascii="Verdana" w:hAnsi="Verdana"/>
          <w:color w:val="54BBAB" w:themeColor="text2"/>
          <w:sz w:val="20"/>
          <w:szCs w:val="20"/>
        </w:rPr>
        <w:t>Voting Globally</w:t>
      </w:r>
    </w:p>
    <w:p w:rsidR="00197BA3" w:rsidRPr="007200A7" w:rsidRDefault="009C4736" w:rsidP="003B4083">
      <w:pPr>
        <w:pStyle w:val="treb"/>
        <w:numPr>
          <w:ilvl w:val="0"/>
          <w:numId w:val="0"/>
        </w:num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B7162D" w:rsidRPr="00692968" w:rsidRDefault="009C4736" w:rsidP="003B4083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Through its investment in the LPP I Global Equities Fund (GEF)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LCPF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own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units in a pooled fund which invests in listed companies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globally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Investors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in the GEF delegate the control and exercise of shareholder voting to LPP I. This</w:t>
      </w:r>
      <w:r w:rsidRPr="003B4083">
        <w:rPr>
          <w:rFonts w:ascii="Verdana" w:hAnsi="Verdana" w:cs="Arial"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reflects that c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lients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who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hold units in the GEF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are beneficial owners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in common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but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do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not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directly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own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underlying securities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</w:p>
    <w:p w:rsidR="00FC2A79" w:rsidRPr="00692968" w:rsidRDefault="009C4736" w:rsidP="003B4083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04532C" w:rsidRPr="00692968" w:rsidRDefault="009C4736" w:rsidP="003B4083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I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exercise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shareholder voting rights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for the GEF centrally rather than delegating voting to individual asset managers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and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take account of voting recommendations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received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from an external provider of proxy voting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and governance research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(ISS)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in accordance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a Sustainability Voting Policy designed to ensure the consideration of ESG factors within analysis. LPP I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review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voting recommendations </w:t>
      </w: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>and take the final decision on all voting.</w:t>
      </w:r>
    </w:p>
    <w:p w:rsidR="00197BA3" w:rsidRPr="00692968" w:rsidRDefault="009C4736" w:rsidP="003B4083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92968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9D783C" w:rsidRDefault="009C4736" w:rsidP="0069296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I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>n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first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 xml:space="preserve"> quarter of 201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8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shareholder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v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 xml:space="preserve">oting headlines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for the GEF </w:t>
      </w:r>
      <w:r w:rsidRPr="008103F0">
        <w:rPr>
          <w:rFonts w:ascii="Verdana" w:hAnsi="Verdana" w:cs="Arial"/>
          <w:bCs/>
          <w:color w:val="183850" w:themeColor="text1"/>
          <w:sz w:val="20"/>
          <w:szCs w:val="20"/>
        </w:rPr>
        <w:t>were as follows:</w:t>
      </w:r>
    </w:p>
    <w:p w:rsidR="00BE766B" w:rsidRPr="00BE766B" w:rsidRDefault="009C4736" w:rsidP="00692968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  <w:u w:val="single"/>
        </w:rPr>
      </w:pPr>
    </w:p>
    <w:p w:rsidR="00BE766B" w:rsidRDefault="009C4736" w:rsidP="00D95CF3">
      <w:pPr>
        <w:spacing w:after="0"/>
        <w:rPr>
          <w:rFonts w:ascii="Verdana" w:hAnsi="Verdana" w:cs="Arial"/>
          <w:bCs/>
          <w:color w:val="183850" w:themeColor="text1"/>
          <w:sz w:val="20"/>
          <w:szCs w:val="20"/>
          <w:u w:val="single"/>
        </w:rPr>
      </w:pPr>
      <w:r w:rsidRPr="00BE766B">
        <w:rPr>
          <w:rFonts w:ascii="Verdana" w:hAnsi="Verdana" w:cs="Arial"/>
          <w:bCs/>
          <w:color w:val="183850" w:themeColor="text1"/>
          <w:sz w:val="20"/>
          <w:szCs w:val="20"/>
          <w:u w:val="single"/>
        </w:rPr>
        <w:t>LPP Global Equities Fund (GEF)</w:t>
      </w:r>
    </w:p>
    <w:p w:rsidR="00A05E4A" w:rsidRDefault="009C4736" w:rsidP="00EE70E7">
      <w:pPr>
        <w:pStyle w:val="ListParagraph"/>
        <w:spacing w:after="0"/>
        <w:ind w:left="0"/>
        <w:rPr>
          <w:rFonts w:ascii="Verdana" w:hAnsi="Verdana"/>
          <w:color w:val="183850" w:themeColor="text1"/>
          <w:u w:val="single"/>
        </w:rPr>
      </w:pPr>
    </w:p>
    <w:tbl>
      <w:tblPr>
        <w:tblW w:w="7060" w:type="dxa"/>
        <w:tblInd w:w="-10" w:type="dxa"/>
        <w:tblLook w:val="04A0" w:firstRow="1" w:lastRow="0" w:firstColumn="1" w:lastColumn="0" w:noHBand="0" w:noVBand="1"/>
      </w:tblPr>
      <w:tblGrid>
        <w:gridCol w:w="5933"/>
        <w:gridCol w:w="1127"/>
      </w:tblGrid>
      <w:tr w:rsidR="0015409A" w:rsidTr="00A05E4A">
        <w:trPr>
          <w:trHeight w:val="270"/>
        </w:trPr>
        <w:tc>
          <w:tcPr>
            <w:tcW w:w="5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Total company meetings taking place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A6377">
            <w:pPr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54</w:t>
            </w:r>
          </w:p>
        </w:tc>
      </w:tr>
      <w:tr w:rsidR="0015409A" w:rsidTr="00A05E4A">
        <w:trPr>
          <w:trHeight w:val="27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 xml:space="preserve">Total resolutions </w:t>
            </w:r>
          </w:p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(management and shareholder proposals)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A6377">
            <w:pPr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671</w:t>
            </w:r>
          </w:p>
        </w:tc>
      </w:tr>
      <w:tr w:rsidR="0015409A" w:rsidTr="00A05E4A">
        <w:trPr>
          <w:trHeight w:val="27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Total company proposals in the period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A6377">
            <w:pPr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649</w:t>
            </w:r>
          </w:p>
        </w:tc>
      </w:tr>
      <w:tr w:rsidR="0015409A" w:rsidTr="00A05E4A">
        <w:trPr>
          <w:trHeight w:val="270"/>
        </w:trPr>
        <w:tc>
          <w:tcPr>
            <w:tcW w:w="5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 xml:space="preserve">Total shareholder </w:t>
            </w: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proposals in the period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A6377">
            <w:pPr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22</w:t>
            </w:r>
          </w:p>
        </w:tc>
      </w:tr>
    </w:tbl>
    <w:p w:rsidR="00A05E4A" w:rsidRPr="00A375D9" w:rsidRDefault="009C4736" w:rsidP="00EE70E7">
      <w:pPr>
        <w:spacing w:after="0"/>
        <w:rPr>
          <w:rFonts w:ascii="Verdana" w:hAnsi="Verdana"/>
          <w:color w:val="183850" w:themeColor="text1"/>
          <w:u w:val="single"/>
        </w:rPr>
      </w:pPr>
    </w:p>
    <w:p w:rsidR="00A05E4A" w:rsidRPr="00EE70E7" w:rsidRDefault="009C4736" w:rsidP="00EE70E7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EE70E7">
        <w:rPr>
          <w:rFonts w:ascii="Verdana" w:hAnsi="Verdana" w:cs="Arial"/>
          <w:bCs/>
          <w:color w:val="183850" w:themeColor="text1"/>
          <w:sz w:val="20"/>
          <w:szCs w:val="20"/>
        </w:rPr>
        <w:t>Company Proposals</w:t>
      </w:r>
    </w:p>
    <w:tbl>
      <w:tblPr>
        <w:tblW w:w="7287" w:type="dxa"/>
        <w:tblInd w:w="-5" w:type="dxa"/>
        <w:tblLook w:val="04A0" w:firstRow="1" w:lastRow="0" w:firstColumn="1" w:lastColumn="0" w:noHBand="0" w:noVBand="1"/>
      </w:tblPr>
      <w:tblGrid>
        <w:gridCol w:w="6003"/>
        <w:gridCol w:w="598"/>
        <w:gridCol w:w="686"/>
      </w:tblGrid>
      <w:tr w:rsidR="0015409A" w:rsidTr="00A05E4A">
        <w:trPr>
          <w:trHeight w:val="270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Voting was in line with Management recommendations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615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5</w:t>
            </w: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%</w:t>
            </w:r>
          </w:p>
        </w:tc>
      </w:tr>
      <w:tr w:rsidR="0015409A" w:rsidTr="00A05E4A">
        <w:trPr>
          <w:trHeight w:val="270"/>
        </w:trPr>
        <w:tc>
          <w:tcPr>
            <w:tcW w:w="6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Voting was against Management recommendations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5</w:t>
            </w: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%</w:t>
            </w:r>
          </w:p>
        </w:tc>
      </w:tr>
    </w:tbl>
    <w:p w:rsidR="00A05E4A" w:rsidRPr="00A375D9" w:rsidRDefault="009C4736" w:rsidP="00EE70E7">
      <w:pPr>
        <w:spacing w:after="0"/>
        <w:rPr>
          <w:rFonts w:ascii="Verdana" w:hAnsi="Verdana"/>
          <w:color w:val="183850" w:themeColor="text1"/>
          <w:u w:val="single"/>
        </w:rPr>
      </w:pPr>
    </w:p>
    <w:p w:rsidR="00A05E4A" w:rsidRPr="00EE70E7" w:rsidRDefault="009C4736" w:rsidP="00EE70E7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EE70E7">
        <w:rPr>
          <w:rFonts w:ascii="Verdana" w:hAnsi="Verdana" w:cs="Arial"/>
          <w:bCs/>
          <w:color w:val="183850" w:themeColor="text1"/>
          <w:sz w:val="20"/>
          <w:szCs w:val="20"/>
        </w:rPr>
        <w:t>Shareholder Proposals</w:t>
      </w:r>
    </w:p>
    <w:tbl>
      <w:tblPr>
        <w:tblW w:w="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659"/>
        <w:gridCol w:w="686"/>
      </w:tblGrid>
      <w:tr w:rsidR="0015409A" w:rsidTr="00A05E4A">
        <w:trPr>
          <w:trHeight w:val="270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Shareholder proposals supported by LPP I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45%</w:t>
            </w:r>
          </w:p>
        </w:tc>
      </w:tr>
      <w:tr w:rsidR="0015409A" w:rsidTr="00A05E4A">
        <w:trPr>
          <w:trHeight w:val="270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>Vote</w:t>
            </w: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s</w:t>
            </w:r>
            <w:r w:rsidRPr="00A375D9">
              <w:rPr>
                <w:rFonts w:ascii="Verdana" w:hAnsi="Verdana" w:cs="Arial"/>
                <w:color w:val="183850" w:themeColor="text1"/>
                <w:sz w:val="20"/>
                <w:szCs w:val="20"/>
              </w:rPr>
              <w:t xml:space="preserve"> against shareholder</w:t>
            </w: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 xml:space="preserve"> proposal</w:t>
            </w: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s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Verdana" w:hAnsi="Verdana" w:cs="Arial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183850" w:themeColor="text1"/>
                <w:sz w:val="20"/>
                <w:szCs w:val="20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05E4A" w:rsidRPr="00A375D9" w:rsidRDefault="009C4736" w:rsidP="00EE70E7">
            <w:pPr>
              <w:spacing w:after="0"/>
              <w:jc w:val="center"/>
              <w:rPr>
                <w:rFonts w:ascii="Arial" w:hAnsi="Arial" w:cs="Arial"/>
                <w:color w:val="183850" w:themeColor="text1"/>
                <w:sz w:val="20"/>
                <w:szCs w:val="20"/>
              </w:rPr>
            </w:pPr>
            <w:r w:rsidRPr="00A375D9">
              <w:rPr>
                <w:rFonts w:ascii="Arial" w:hAnsi="Arial" w:cs="Arial"/>
                <w:color w:val="183850" w:themeColor="text1"/>
                <w:sz w:val="20"/>
                <w:szCs w:val="20"/>
              </w:rPr>
              <w:t>55%</w:t>
            </w:r>
          </w:p>
        </w:tc>
      </w:tr>
    </w:tbl>
    <w:p w:rsidR="00A05E4A" w:rsidRDefault="009C4736" w:rsidP="00D95CF3">
      <w:pPr>
        <w:spacing w:after="0"/>
        <w:rPr>
          <w:rFonts w:ascii="Verdana" w:hAnsi="Verdana" w:cs="Arial"/>
          <w:bCs/>
          <w:color w:val="183850" w:themeColor="text1"/>
          <w:sz w:val="20"/>
          <w:szCs w:val="20"/>
          <w:u w:val="single"/>
        </w:rPr>
      </w:pPr>
    </w:p>
    <w:p w:rsidR="00EA4636" w:rsidRDefault="009C4736" w:rsidP="00EA4636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/>
          <w:color w:val="183850" w:themeColor="text1"/>
          <w:sz w:val="20"/>
          <w:szCs w:val="20"/>
        </w:rPr>
        <w:t>The table below summarises resolutions by type and indicates the subject of sh</w:t>
      </w:r>
      <w:r>
        <w:rPr>
          <w:rFonts w:ascii="Verdana" w:hAnsi="Verdana"/>
          <w:color w:val="183850" w:themeColor="text1"/>
          <w:sz w:val="20"/>
          <w:szCs w:val="20"/>
        </w:rPr>
        <w:t xml:space="preserve">areholder </w:t>
      </w:r>
      <w:r w:rsidRPr="00EA4636">
        <w:rPr>
          <w:rFonts w:ascii="Verdana" w:hAnsi="Verdana" w:cs="Arial"/>
          <w:bCs/>
          <w:color w:val="183850" w:themeColor="text1"/>
          <w:sz w:val="20"/>
          <w:szCs w:val="20"/>
        </w:rPr>
        <w:t>resolutions seen in Q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1</w:t>
      </w:r>
      <w:r w:rsidRPr="00EA4636"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EE70E7" w:rsidRDefault="009C4736" w:rsidP="00EA4636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tbl>
      <w:tblPr>
        <w:tblW w:w="7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2489"/>
      </w:tblGrid>
      <w:tr w:rsidR="0015409A" w:rsidTr="00D204A7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Resolutions by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Proposals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Examples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Antitakeover Related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Capitalization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38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Director Related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361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odexo/Starbucks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Non-Salary Comp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ensation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61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Sodexo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Reorg. and Mergers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M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Routine/Business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70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Corp Governance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Costco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Director Related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Health/Environmental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Starbucks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Other/misc.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Starbucks</w:t>
            </w: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Routine/Business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  <w:tr w:rsidR="0015409A" w:rsidTr="00D204A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Social Proposal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>Costco</w:t>
            </w:r>
          </w:p>
        </w:tc>
      </w:tr>
      <w:tr w:rsidR="0015409A" w:rsidTr="00D204A7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D204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                                </w:t>
            </w: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Total</w:t>
            </w:r>
            <w:r>
              <w:rPr>
                <w:rFonts w:ascii="Verdana" w:hAnsi="Verdana"/>
                <w:color w:val="18385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183850" w:themeColor="text1"/>
                <w:sz w:val="20"/>
                <w:szCs w:val="20"/>
              </w:rPr>
            </w:pPr>
            <w:r w:rsidRPr="00EE70E7">
              <w:rPr>
                <w:rFonts w:ascii="Verdana" w:hAnsi="Verdana"/>
                <w:color w:val="183850" w:themeColor="text1"/>
                <w:sz w:val="20"/>
                <w:szCs w:val="20"/>
              </w:rPr>
              <w:t>671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0E7" w:rsidRPr="00EE70E7" w:rsidRDefault="009C4736" w:rsidP="00EE70E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183850" w:themeColor="text1"/>
                <w:sz w:val="20"/>
                <w:szCs w:val="20"/>
              </w:rPr>
            </w:pPr>
          </w:p>
        </w:tc>
      </w:tr>
    </w:tbl>
    <w:p w:rsidR="00EE70E7" w:rsidRPr="00EE70E7" w:rsidRDefault="009C4736" w:rsidP="00EA4636">
      <w:pPr>
        <w:autoSpaceDE w:val="0"/>
        <w:autoSpaceDN w:val="0"/>
        <w:adjustRightInd w:val="0"/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C63141" w:rsidRPr="00C63141" w:rsidRDefault="009C4736" w:rsidP="00D204A7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2D14BD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voted against management resolutions in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3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4</w:t>
      </w:r>
      <w:r w:rsidRPr="002D14BD">
        <w:rPr>
          <w:rFonts w:ascii="Verdana" w:hAnsi="Verdana" w:cs="Arial"/>
          <w:bCs/>
          <w:color w:val="183850" w:themeColor="text1"/>
          <w:sz w:val="20"/>
          <w:szCs w:val="20"/>
        </w:rPr>
        <w:t xml:space="preserve"> instances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4E772D" w:rsidRPr="00CD3732" w:rsidRDefault="009C4736" w:rsidP="00CD3732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CD3732">
        <w:rPr>
          <w:rFonts w:ascii="Verdana" w:hAnsi="Verdana" w:cs="Arial"/>
          <w:bCs/>
          <w:color w:val="183850" w:themeColor="text1"/>
          <w:sz w:val="20"/>
          <w:szCs w:val="20"/>
        </w:rPr>
        <w:t xml:space="preserve">At </w:t>
      </w:r>
      <w:r w:rsidRPr="00CD3732">
        <w:rPr>
          <w:rFonts w:ascii="Verdana" w:hAnsi="Verdana" w:cs="Arial"/>
          <w:b/>
          <w:bCs/>
          <w:color w:val="183850" w:themeColor="text1"/>
          <w:sz w:val="20"/>
          <w:szCs w:val="20"/>
        </w:rPr>
        <w:t>Sodexo</w:t>
      </w:r>
      <w:r w:rsidRPr="00CD3732">
        <w:rPr>
          <w:rFonts w:ascii="Verdana" w:hAnsi="Verdana" w:cs="Arial"/>
          <w:bCs/>
          <w:color w:val="183850" w:themeColor="text1"/>
          <w:sz w:val="20"/>
          <w:szCs w:val="20"/>
        </w:rPr>
        <w:t xml:space="preserve"> (</w:t>
      </w:r>
      <w:r w:rsidRPr="00CD3732">
        <w:rPr>
          <w:rFonts w:ascii="Verdana" w:hAnsi="Verdana" w:cs="Arial"/>
          <w:bCs/>
          <w:color w:val="183850" w:themeColor="text1"/>
          <w:sz w:val="20"/>
          <w:szCs w:val="20"/>
        </w:rPr>
        <w:t>French food services and facilities management company) </w:t>
      </w:r>
      <w:r w:rsidRPr="00CD3732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opposed management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on</w:t>
      </w:r>
      <w:r w:rsidRPr="00CD3732">
        <w:rPr>
          <w:rFonts w:ascii="Verdana" w:hAnsi="Verdana" w:cs="Arial"/>
          <w:bCs/>
          <w:color w:val="183850" w:themeColor="text1"/>
          <w:sz w:val="20"/>
          <w:szCs w:val="20"/>
        </w:rPr>
        <w:t xml:space="preserve"> 7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resolutions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including:</w:t>
      </w:r>
    </w:p>
    <w:p w:rsidR="004E772D" w:rsidRPr="003226E8" w:rsidRDefault="009C4736" w:rsidP="0073645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re-election of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>3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 directors due to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>a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 lack of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sufficient Board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>independence</w:t>
      </w:r>
    </w:p>
    <w:p w:rsidR="004E772D" w:rsidRPr="003226E8" w:rsidRDefault="009C4736" w:rsidP="0073645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lastRenderedPageBreak/>
        <w:t xml:space="preserve">the Remuneration Policy for the outgoing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CEO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/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the Remuneration Policy for the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 incoming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CEO due to the lack of information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 xml:space="preserve">on certain points </w:t>
      </w:r>
      <w:r w:rsidRPr="003226E8">
        <w:rPr>
          <w:rFonts w:ascii="Verdana" w:hAnsi="Verdana" w:cs="Arial"/>
          <w:bCs/>
          <w:color w:val="183850" w:themeColor="text1"/>
          <w:sz w:val="20"/>
          <w:szCs w:val="20"/>
        </w:rPr>
        <w:t>and the absence of cap on exceptional remuneration</w:t>
      </w:r>
    </w:p>
    <w:p w:rsidR="00020134" w:rsidRDefault="009C4736" w:rsidP="0073645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the compensation of the CEO due to lack of information on certain points</w:t>
      </w:r>
    </w:p>
    <w:p w:rsidR="00020134" w:rsidRPr="00020134" w:rsidRDefault="009C4736" w:rsidP="00736455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Meeting results confirm that a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ll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management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 resolutions passed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with a large majority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</w:p>
    <w:p w:rsidR="00736455" w:rsidRDefault="009C4736" w:rsidP="00736455">
      <w:pPr>
        <w:autoSpaceDE w:val="0"/>
        <w:autoSpaceDN w:val="0"/>
        <w:adjustRightInd w:val="0"/>
        <w:spacing w:after="0"/>
        <w:rPr>
          <w:rFonts w:ascii="Verdana" w:hAnsi="Verdana"/>
        </w:rPr>
      </w:pPr>
    </w:p>
    <w:p w:rsidR="00020134" w:rsidRDefault="009C4736" w:rsidP="00736455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C4A17">
        <w:rPr>
          <w:rFonts w:ascii="Verdana" w:hAnsi="Verdana" w:cs="Arial"/>
          <w:bCs/>
          <w:color w:val="183850" w:themeColor="text1"/>
          <w:sz w:val="20"/>
          <w:szCs w:val="20"/>
        </w:rPr>
        <w:t xml:space="preserve">At </w:t>
      </w:r>
      <w:r w:rsidRPr="00736455">
        <w:rPr>
          <w:rFonts w:ascii="Verdana" w:hAnsi="Verdana" w:cs="Arial"/>
          <w:b/>
          <w:bCs/>
          <w:color w:val="183850" w:themeColor="text1"/>
          <w:sz w:val="20"/>
          <w:szCs w:val="20"/>
        </w:rPr>
        <w:t>Svenska Cellulosa AB</w:t>
      </w:r>
      <w:r w:rsidRPr="006C4A17">
        <w:rPr>
          <w:rFonts w:ascii="Verdana" w:hAnsi="Verdana" w:cs="Arial"/>
          <w:bCs/>
          <w:color w:val="183850" w:themeColor="text1"/>
          <w:sz w:val="20"/>
          <w:szCs w:val="20"/>
        </w:rPr>
        <w:t xml:space="preserve"> (Nordic Forest Products) LPP opposed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management on </w:t>
      </w:r>
      <w:r w:rsidRPr="006C4A17">
        <w:rPr>
          <w:rFonts w:ascii="Verdana" w:hAnsi="Verdana" w:cs="Arial"/>
          <w:bCs/>
          <w:color w:val="183850" w:themeColor="text1"/>
          <w:sz w:val="20"/>
          <w:szCs w:val="20"/>
        </w:rPr>
        <w:t>4 resolutions including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:</w:t>
      </w:r>
      <w:r w:rsidRPr="006C4A17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020134" w:rsidRPr="00020134" w:rsidRDefault="009C4736" w:rsidP="007364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re-election of Directors holding multiple other chairmanships/directorships/non-executive directorships. </w:t>
      </w:r>
    </w:p>
    <w:p w:rsidR="00020134" w:rsidRPr="00020134" w:rsidRDefault="009C4736" w:rsidP="007364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election of the 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Board Chairman 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>for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 excessive 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>other commitments</w:t>
      </w:r>
    </w:p>
    <w:p w:rsidR="00736455" w:rsidRDefault="009C4736" w:rsidP="007364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>t</w:t>
      </w:r>
      <w:r w:rsidRPr="00020134">
        <w:rPr>
          <w:rFonts w:ascii="Verdana" w:hAnsi="Verdana" w:cs="Arial"/>
          <w:bCs/>
          <w:color w:val="183850" w:themeColor="text1"/>
          <w:sz w:val="20"/>
          <w:szCs w:val="20"/>
        </w:rPr>
        <w:t xml:space="preserve">he remuneration policy and terms of employment for Executive Management due to a lack of disclosure concerning the company's long-term, cash-based variable remuneration plan. </w:t>
      </w:r>
    </w:p>
    <w:p w:rsidR="00736455" w:rsidRPr="00736455" w:rsidRDefault="009C4736" w:rsidP="00736455">
      <w:pPr>
        <w:pStyle w:val="ListParagraph"/>
        <w:autoSpaceDE w:val="0"/>
        <w:autoSpaceDN w:val="0"/>
        <w:adjustRightInd w:val="0"/>
        <w:spacing w:after="0"/>
        <w:ind w:left="284" w:hanging="284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Meeting r</w:t>
      </w:r>
      <w:r w:rsidRPr="00736455">
        <w:rPr>
          <w:rFonts w:ascii="Verdana" w:hAnsi="Verdana" w:cs="Arial"/>
          <w:bCs/>
          <w:color w:val="183850" w:themeColor="text1"/>
          <w:sz w:val="20"/>
          <w:szCs w:val="20"/>
        </w:rPr>
        <w:t>esults confirm that all management resolutions passed</w:t>
      </w:r>
      <w:r w:rsidRPr="00FC021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with a large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majority</w:t>
      </w:r>
      <w:r w:rsidRPr="00736455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</w:p>
    <w:p w:rsidR="00C63141" w:rsidRDefault="009C4736" w:rsidP="00736455">
      <w:pPr>
        <w:autoSpaceDE w:val="0"/>
        <w:autoSpaceDN w:val="0"/>
        <w:adjustRightInd w:val="0"/>
        <w:spacing w:after="0"/>
        <w:rPr>
          <w:lang w:val="en-US"/>
        </w:rPr>
      </w:pPr>
    </w:p>
    <w:p w:rsidR="00C02B1F" w:rsidRDefault="009C4736" w:rsidP="00C02B1F">
      <w:pPr>
        <w:spacing w:after="0"/>
        <w:rPr>
          <w:rFonts w:ascii="Verdana" w:hAnsi="Verdana"/>
          <w:snapToGrid w:val="0"/>
          <w:color w:val="183850" w:themeColor="text1"/>
          <w:sz w:val="20"/>
          <w:szCs w:val="20"/>
        </w:rPr>
      </w:pP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>LPP supported shareholder proposals in 10 instances across 7 company AGMs.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</w:t>
      </w:r>
    </w:p>
    <w:p w:rsidR="00736455" w:rsidRDefault="009C4736" w:rsidP="00C02B1F">
      <w:pPr>
        <w:spacing w:after="0"/>
        <w:rPr>
          <w:rFonts w:ascii="Verdana" w:hAnsi="Verdana"/>
          <w:snapToGrid w:val="0"/>
          <w:color w:val="183850" w:themeColor="text1"/>
          <w:sz w:val="20"/>
          <w:szCs w:val="20"/>
        </w:rPr>
      </w:pP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The resolutions gaining support covered familiar territory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in seeking to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tack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le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governance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issues and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increase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the potential for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shareholder influence.</w:t>
      </w:r>
    </w:p>
    <w:p w:rsidR="00C02B1F" w:rsidRDefault="009C4736" w:rsidP="00C02B1F">
      <w:pPr>
        <w:spacing w:after="0"/>
        <w:rPr>
          <w:rFonts w:ascii="Verdana" w:hAnsi="Verdana"/>
          <w:snapToGrid w:val="0"/>
          <w:color w:val="183850" w:themeColor="text1"/>
          <w:sz w:val="20"/>
          <w:szCs w:val="20"/>
        </w:rPr>
      </w:pPr>
    </w:p>
    <w:p w:rsidR="00653652" w:rsidRPr="00C02B1F" w:rsidRDefault="009C4736" w:rsidP="00C02B1F">
      <w:pPr>
        <w:spacing w:after="0"/>
        <w:rPr>
          <w:rFonts w:ascii="Verdana" w:hAnsi="Verdana"/>
          <w:snapToGrid w:val="0"/>
          <w:color w:val="183850" w:themeColor="text1"/>
          <w:sz w:val="20"/>
          <w:szCs w:val="20"/>
        </w:rPr>
      </w:pPr>
      <w:r w:rsidRPr="00C02B1F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Resolutions seeking to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improve</w:t>
      </w:r>
      <w:r w:rsidRPr="00C02B1F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proxy access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(the right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s of shareholders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to nominate directors)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were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0"/>
        <w:gridCol w:w="2577"/>
        <w:gridCol w:w="1136"/>
        <w:gridCol w:w="1231"/>
      </w:tblGrid>
      <w:tr w:rsidR="0015409A" w:rsidTr="00C02B1F">
        <w:tc>
          <w:tcPr>
            <w:tcW w:w="3370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bookmarkStart w:id="1" w:name="_Hlk513725929"/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Company</w:t>
            </w:r>
          </w:p>
        </w:tc>
        <w:tc>
          <w:tcPr>
            <w:tcW w:w="2577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S</w:t>
            </w: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ector</w:t>
            </w:r>
          </w:p>
        </w:tc>
        <w:tc>
          <w:tcPr>
            <w:tcW w:w="1136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Result</w:t>
            </w:r>
          </w:p>
        </w:tc>
        <w:tc>
          <w:tcPr>
            <w:tcW w:w="1231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Pass/Fail</w:t>
            </w:r>
          </w:p>
        </w:tc>
      </w:tr>
      <w:tr w:rsidR="0015409A" w:rsidTr="00C02B1F">
        <w:tc>
          <w:tcPr>
            <w:tcW w:w="3370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Becton, Dickinson and Co</w:t>
            </w:r>
          </w:p>
        </w:tc>
        <w:tc>
          <w:tcPr>
            <w:tcW w:w="2577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American global</w:t>
            </w:r>
            <w:r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 xml:space="preserve"> </w:t>
            </w: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medical technology company</w:t>
            </w:r>
          </w:p>
        </w:tc>
        <w:tc>
          <w:tcPr>
            <w:tcW w:w="1136" w:type="dxa"/>
          </w:tcPr>
          <w:p w:rsid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27.6%</w:t>
            </w:r>
          </w:p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support</w:t>
            </w:r>
          </w:p>
        </w:tc>
        <w:tc>
          <w:tcPr>
            <w:tcW w:w="1231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Fail</w:t>
            </w:r>
          </w:p>
        </w:tc>
      </w:tr>
      <w:tr w:rsidR="0015409A" w:rsidTr="00C02B1F">
        <w:tc>
          <w:tcPr>
            <w:tcW w:w="3370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 xml:space="preserve">Apple </w:t>
            </w:r>
            <w:r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I</w:t>
            </w: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nc</w:t>
            </w:r>
            <w:r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 xml:space="preserve">American </w:t>
            </w: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multinational technology company </w:t>
            </w:r>
          </w:p>
        </w:tc>
        <w:tc>
          <w:tcPr>
            <w:tcW w:w="1136" w:type="dxa"/>
          </w:tcPr>
          <w:p w:rsid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32.19%</w:t>
            </w:r>
          </w:p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support</w:t>
            </w:r>
          </w:p>
        </w:tc>
        <w:tc>
          <w:tcPr>
            <w:tcW w:w="1231" w:type="dxa"/>
          </w:tcPr>
          <w:p w:rsidR="00C02B1F" w:rsidRPr="00C02B1F" w:rsidRDefault="009C4736" w:rsidP="00C02B1F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 w:cs="Arial"/>
                <w:bCs/>
                <w:color w:val="183850" w:themeColor="text1"/>
                <w:sz w:val="20"/>
                <w:szCs w:val="20"/>
              </w:rPr>
              <w:t>Fail</w:t>
            </w:r>
          </w:p>
        </w:tc>
      </w:tr>
      <w:bookmarkEnd w:id="1"/>
    </w:tbl>
    <w:p w:rsidR="00166A0A" w:rsidRDefault="009C4736" w:rsidP="00653652">
      <w:pPr>
        <w:widowControl w:val="0"/>
        <w:spacing w:after="0" w:line="240" w:lineRule="auto"/>
        <w:rPr>
          <w:rFonts w:ascii="Verdana" w:hAnsi="Verdana"/>
          <w:color w:val="183850" w:themeColor="text1"/>
        </w:rPr>
      </w:pPr>
    </w:p>
    <w:p w:rsidR="00166A0A" w:rsidRPr="00C02B1F" w:rsidRDefault="009C4736" w:rsidP="00C02B1F">
      <w:pPr>
        <w:spacing w:after="0"/>
        <w:rPr>
          <w:rFonts w:ascii="Verdana" w:hAnsi="Verdana"/>
          <w:snapToGrid w:val="0"/>
          <w:color w:val="183850" w:themeColor="text1"/>
          <w:sz w:val="20"/>
          <w:szCs w:val="20"/>
        </w:rPr>
      </w:pPr>
      <w:r w:rsidRPr="00C02B1F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Resolutions seeking to amend </w:t>
      </w:r>
      <w:r w:rsidRPr="00C02B1F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byelaws and articles of incorporation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(to strengthen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SH rights and governance practice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s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>)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were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276"/>
        <w:gridCol w:w="1791"/>
      </w:tblGrid>
      <w:tr w:rsidR="0015409A" w:rsidTr="00645ABD">
        <w:tc>
          <w:tcPr>
            <w:tcW w:w="3397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Company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/ Issue</w:t>
            </w:r>
          </w:p>
        </w:tc>
        <w:tc>
          <w:tcPr>
            <w:tcW w:w="2552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S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ector</w:t>
            </w:r>
          </w:p>
        </w:tc>
        <w:tc>
          <w:tcPr>
            <w:tcW w:w="1276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Result</w:t>
            </w:r>
          </w:p>
        </w:tc>
        <w:tc>
          <w:tcPr>
            <w:tcW w:w="1791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Pass/Fail</w:t>
            </w:r>
          </w:p>
        </w:tc>
      </w:tr>
      <w:tr w:rsidR="0015409A" w:rsidTr="00645ABD">
        <w:tc>
          <w:tcPr>
            <w:tcW w:w="3397" w:type="dxa"/>
          </w:tcPr>
          <w:p w:rsid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Deere &amp; Co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establish a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SH right to call Special Meetings</w:t>
            </w:r>
          </w:p>
          <w:p w:rsidR="009E647A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American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gricultural/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i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ndustrial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m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achinery company</w:t>
            </w:r>
          </w:p>
        </w:tc>
        <w:tc>
          <w:tcPr>
            <w:tcW w:w="1276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28.96% support</w:t>
            </w:r>
          </w:p>
        </w:tc>
        <w:tc>
          <w:tcPr>
            <w:tcW w:w="1791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Fail</w:t>
            </w:r>
          </w:p>
        </w:tc>
      </w:tr>
      <w:tr w:rsidR="0015409A" w:rsidTr="00645ABD">
        <w:tc>
          <w:tcPr>
            <w:tcW w:w="3397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KB Financial Group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/ enshrine a recent byelaw change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on the composition of the Nomination Committee with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in the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articles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of incorporation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Korean financial services company </w:t>
            </w:r>
          </w:p>
        </w:tc>
        <w:tc>
          <w:tcPr>
            <w:tcW w:w="1276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esults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are not </w:t>
            </w: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published</w:t>
            </w:r>
          </w:p>
        </w:tc>
        <w:tc>
          <w:tcPr>
            <w:tcW w:w="1791" w:type="dxa"/>
          </w:tcPr>
          <w:p w:rsidR="00C02B1F" w:rsidRPr="00C02B1F" w:rsidRDefault="009C4736" w:rsidP="00C02B1F">
            <w:pPr>
              <w:spacing w:line="276" w:lineRule="auto"/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C02B1F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Unknown</w:t>
            </w:r>
          </w:p>
        </w:tc>
      </w:tr>
    </w:tbl>
    <w:p w:rsidR="00166A0A" w:rsidRDefault="009C4736" w:rsidP="00C02B1F">
      <w:pPr>
        <w:widowControl w:val="0"/>
        <w:spacing w:after="0" w:line="240" w:lineRule="auto"/>
        <w:rPr>
          <w:rFonts w:ascii="Verdana" w:hAnsi="Verdana"/>
          <w:color w:val="183850" w:themeColor="text1"/>
        </w:rPr>
      </w:pPr>
    </w:p>
    <w:p w:rsidR="00653652" w:rsidRPr="00645ABD" w:rsidRDefault="009C4736" w:rsidP="00645ABD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45ABD">
        <w:rPr>
          <w:rFonts w:ascii="Verdana" w:hAnsi="Verdana" w:cs="Arial"/>
          <w:bCs/>
          <w:color w:val="183850" w:themeColor="text1"/>
          <w:sz w:val="20"/>
          <w:szCs w:val="20"/>
        </w:rPr>
        <w:t xml:space="preserve">Additionally, </w:t>
      </w:r>
      <w:r w:rsidRPr="00645ABD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supported a shareholder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proposal</w:t>
      </w:r>
      <w:r w:rsidRPr="00645ABD">
        <w:rPr>
          <w:rFonts w:ascii="Verdana" w:hAnsi="Verdana" w:cs="Arial"/>
          <w:bCs/>
          <w:color w:val="183850" w:themeColor="text1"/>
          <w:sz w:val="20"/>
          <w:szCs w:val="20"/>
        </w:rPr>
        <w:t xml:space="preserve"> at Costco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Wholesale Corp. (</w:t>
      </w:r>
      <w:r w:rsidRPr="00305C24">
        <w:rPr>
          <w:rFonts w:ascii="Verdana" w:hAnsi="Verdana" w:cs="Arial"/>
          <w:bCs/>
          <w:color w:val="183850" w:themeColor="text1"/>
          <w:sz w:val="20"/>
          <w:szCs w:val="20"/>
        </w:rPr>
        <w:t>American operator of discount warehouse stores)</w:t>
      </w:r>
      <w:r w:rsidRPr="00645ABD">
        <w:rPr>
          <w:rFonts w:ascii="Verdana" w:hAnsi="Verdana" w:cs="Arial"/>
          <w:bCs/>
          <w:color w:val="183850" w:themeColor="text1"/>
          <w:sz w:val="20"/>
          <w:szCs w:val="20"/>
        </w:rPr>
        <w:t xml:space="preserve"> to replace the company’s current supermajority vote provisions with </w:t>
      </w:r>
      <w:r w:rsidRPr="00645ABD">
        <w:rPr>
          <w:rFonts w:ascii="Verdana" w:hAnsi="Verdana" w:cs="Arial"/>
          <w:bCs/>
          <w:color w:val="183850" w:themeColor="text1"/>
          <w:sz w:val="20"/>
          <w:szCs w:val="20"/>
        </w:rPr>
        <w:t xml:space="preserve">simple majority voting. The Resolution passed with 86% support. </w:t>
      </w:r>
    </w:p>
    <w:p w:rsidR="00653652" w:rsidRDefault="009C4736" w:rsidP="00653652">
      <w:pPr>
        <w:autoSpaceDE w:val="0"/>
        <w:autoSpaceDN w:val="0"/>
        <w:adjustRightInd w:val="0"/>
        <w:spacing w:after="0"/>
        <w:rPr>
          <w:lang w:val="en-US"/>
        </w:rPr>
      </w:pPr>
    </w:p>
    <w:p w:rsidR="00736455" w:rsidRDefault="009C4736" w:rsidP="00736455">
      <w:pPr>
        <w:rPr>
          <w:rFonts w:ascii="Verdana" w:hAnsi="Verdana"/>
          <w:snapToGrid w:val="0"/>
          <w:color w:val="183850" w:themeColor="text1"/>
          <w:sz w:val="20"/>
          <w:szCs w:val="20"/>
        </w:rPr>
      </w:pPr>
      <w:r>
        <w:rPr>
          <w:rFonts w:ascii="Verdana" w:hAnsi="Verdana"/>
          <w:snapToGrid w:val="0"/>
          <w:color w:val="183850" w:themeColor="text1"/>
          <w:sz w:val="20"/>
          <w:szCs w:val="20"/>
        </w:rPr>
        <w:t>There was only one shareholder resolution on an environmental theme in Q1 and this was at Starbucks where LPP</w:t>
      </w: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supported 3</w:t>
      </w: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shareholder resolutions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 in total</w:t>
      </w: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. Details of these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resolutions </w:t>
      </w: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and the </w:t>
      </w:r>
      <w:r>
        <w:rPr>
          <w:rFonts w:ascii="Verdana" w:hAnsi="Verdana"/>
          <w:snapToGrid w:val="0"/>
          <w:color w:val="183850" w:themeColor="text1"/>
          <w:sz w:val="20"/>
          <w:szCs w:val="20"/>
        </w:rPr>
        <w:t xml:space="preserve">AGM </w:t>
      </w:r>
      <w:r w:rsidRPr="00395139">
        <w:rPr>
          <w:rFonts w:ascii="Verdana" w:hAnsi="Verdana"/>
          <w:snapToGrid w:val="0"/>
          <w:color w:val="183850" w:themeColor="text1"/>
          <w:sz w:val="20"/>
          <w:szCs w:val="20"/>
        </w:rPr>
        <w:t>results are shown below:</w:t>
      </w:r>
    </w:p>
    <w:p w:rsidR="00305C24" w:rsidRDefault="009C4736" w:rsidP="00736455">
      <w:pPr>
        <w:rPr>
          <w:rFonts w:ascii="Verdana" w:hAnsi="Verdana"/>
          <w:snapToGrid w:val="0"/>
          <w:color w:val="183850" w:themeColor="text1"/>
          <w:sz w:val="20"/>
          <w:szCs w:val="20"/>
        </w:rPr>
      </w:pPr>
    </w:p>
    <w:p w:rsidR="00305C24" w:rsidRPr="00395139" w:rsidRDefault="009C4736" w:rsidP="00736455">
      <w:pPr>
        <w:rPr>
          <w:rFonts w:ascii="Verdana" w:hAnsi="Verdana"/>
          <w:snapToGrid w:val="0"/>
          <w:color w:val="18385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4260"/>
        <w:gridCol w:w="1131"/>
        <w:gridCol w:w="1361"/>
      </w:tblGrid>
      <w:tr w:rsidR="0015409A" w:rsidTr="005E4640">
        <w:tc>
          <w:tcPr>
            <w:tcW w:w="233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lastRenderedPageBreak/>
              <w:t>Resolution</w:t>
            </w:r>
          </w:p>
        </w:tc>
        <w:tc>
          <w:tcPr>
            <w:tcW w:w="4469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Detail</w:t>
            </w:r>
          </w:p>
        </w:tc>
        <w:tc>
          <w:tcPr>
            <w:tcW w:w="1134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Result</w:t>
            </w:r>
          </w:p>
        </w:tc>
        <w:tc>
          <w:tcPr>
            <w:tcW w:w="139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%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Support </w:t>
            </w:r>
          </w:p>
        </w:tc>
      </w:tr>
      <w:tr w:rsidR="0015409A" w:rsidTr="005E4640">
        <w:tc>
          <w:tcPr>
            <w:tcW w:w="233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Report on sustainable packaging</w:t>
            </w:r>
          </w:p>
        </w:tc>
        <w:tc>
          <w:tcPr>
            <w:tcW w:w="4469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As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king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the company to a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ddress a drastic backtrack from an original (2008) goal to have 100% of cups recyclable or reusable by 2015. Currently only 1.4% are reusable and the Co’s revised goal proposes to increase usage to 2.8% by 2022. Other large food service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c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o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mpanies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have decl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ared aggressive targets for recyclability.</w:t>
            </w:r>
          </w:p>
        </w:tc>
        <w:tc>
          <w:tcPr>
            <w:tcW w:w="1134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Rejected </w:t>
            </w:r>
          </w:p>
        </w:tc>
        <w:tc>
          <w:tcPr>
            <w:tcW w:w="139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29.16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%</w:t>
            </w:r>
          </w:p>
        </w:tc>
      </w:tr>
      <w:tr w:rsidR="0015409A" w:rsidTr="005E4640">
        <w:tc>
          <w:tcPr>
            <w:tcW w:w="233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Amend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Proxy Access Bylaw </w:t>
            </w:r>
          </w:p>
        </w:tc>
        <w:tc>
          <w:tcPr>
            <w:tcW w:w="4469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Ensure meaningful proxy acc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ess to a greater number of shareholders. Remove the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current 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limitation on the number of stockholders that can aggregate their shares to arrive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at the 3% required to be eligible to form a nominating group.</w:t>
            </w:r>
          </w:p>
        </w:tc>
        <w:tc>
          <w:tcPr>
            <w:tcW w:w="1134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Rejected</w:t>
            </w:r>
          </w:p>
        </w:tc>
        <w:tc>
          <w:tcPr>
            <w:tcW w:w="139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32.7%</w:t>
            </w:r>
          </w:p>
        </w:tc>
      </w:tr>
      <w:tr w:rsidR="0015409A" w:rsidTr="005E4640">
        <w:tc>
          <w:tcPr>
            <w:tcW w:w="233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Produce an </w:t>
            </w: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Employment and Diversity Report and Report on Diversity Policies</w:t>
            </w:r>
          </w:p>
        </w:tc>
        <w:tc>
          <w:tcPr>
            <w:tcW w:w="4469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Starbucks does not release comprehensive workforce data or results of diversity initiatives to its sh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areholders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despite saying 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that it promotes workforce diversity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. 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Lack of disclosure leaves shareholders with inadequate information to determine the company's success in expanding workforce diversity and captur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ing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the 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potential value creation generated by a</w:t>
            </w:r>
            <w:r w:rsidRPr="00395139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 xml:space="preserve"> highly diverse workforce.</w:t>
            </w:r>
          </w:p>
        </w:tc>
        <w:tc>
          <w:tcPr>
            <w:tcW w:w="1134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Rejected</w:t>
            </w:r>
          </w:p>
        </w:tc>
        <w:tc>
          <w:tcPr>
            <w:tcW w:w="1390" w:type="dxa"/>
          </w:tcPr>
          <w:p w:rsidR="00736455" w:rsidRPr="00394C21" w:rsidRDefault="009C4736" w:rsidP="005E4640">
            <w:pP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</w:pPr>
            <w:r w:rsidRPr="00394C21"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34.74</w:t>
            </w:r>
            <w:r>
              <w:rPr>
                <w:rFonts w:ascii="Verdana" w:hAnsi="Verdana"/>
                <w:snapToGrid w:val="0"/>
                <w:color w:val="183850" w:themeColor="text1"/>
                <w:sz w:val="20"/>
                <w:szCs w:val="20"/>
              </w:rPr>
              <w:t>%</w:t>
            </w:r>
          </w:p>
        </w:tc>
      </w:tr>
    </w:tbl>
    <w:p w:rsidR="00736455" w:rsidRDefault="009C4736" w:rsidP="00736455">
      <w:pPr>
        <w:rPr>
          <w:rFonts w:ascii="Verdana" w:hAnsi="Verdana"/>
          <w:snapToGrid w:val="0"/>
          <w:color w:val="FF0000"/>
          <w:sz w:val="20"/>
          <w:szCs w:val="20"/>
        </w:rPr>
      </w:pPr>
    </w:p>
    <w:p w:rsidR="00626882" w:rsidRPr="00692968" w:rsidRDefault="009C4736" w:rsidP="00692968">
      <w:pPr>
        <w:rPr>
          <w:rFonts w:ascii="Verdana" w:hAnsi="Verdana"/>
          <w:color w:val="183850" w:themeColor="text1"/>
          <w:sz w:val="20"/>
          <w:szCs w:val="20"/>
        </w:rPr>
      </w:pPr>
      <w:r w:rsidRPr="00692968">
        <w:rPr>
          <w:rFonts w:ascii="Verdana" w:hAnsi="Verdana"/>
          <w:color w:val="183850" w:themeColor="text1"/>
          <w:sz w:val="20"/>
          <w:szCs w:val="20"/>
        </w:rPr>
        <w:t xml:space="preserve">Members </w:t>
      </w:r>
      <w:r w:rsidRPr="00692968">
        <w:rPr>
          <w:rFonts w:ascii="Verdana" w:hAnsi="Verdana"/>
          <w:color w:val="183850" w:themeColor="text1"/>
          <w:sz w:val="20"/>
          <w:szCs w:val="20"/>
        </w:rPr>
        <w:t>can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 view details of voting for all meetings via the 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LPP 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website where quarterly reports for the GEF </w:t>
      </w:r>
      <w:r w:rsidRPr="00692968">
        <w:rPr>
          <w:rFonts w:ascii="Verdana" w:hAnsi="Verdana"/>
          <w:color w:val="183850" w:themeColor="text1"/>
          <w:sz w:val="20"/>
          <w:szCs w:val="20"/>
        </w:rPr>
        <w:t>are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/>
          <w:color w:val="183850" w:themeColor="text1"/>
          <w:sz w:val="20"/>
          <w:szCs w:val="20"/>
        </w:rPr>
        <w:t>made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 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publicly </w:t>
      </w:r>
      <w:r w:rsidRPr="00692968">
        <w:rPr>
          <w:rFonts w:ascii="Verdana" w:hAnsi="Verdana"/>
          <w:color w:val="183850" w:themeColor="text1"/>
          <w:sz w:val="20"/>
          <w:szCs w:val="20"/>
        </w:rPr>
        <w:t>availa</w:t>
      </w:r>
      <w:r w:rsidRPr="00692968">
        <w:rPr>
          <w:rFonts w:ascii="Verdana" w:hAnsi="Verdana"/>
          <w:color w:val="183850" w:themeColor="text1"/>
          <w:sz w:val="20"/>
          <w:szCs w:val="20"/>
        </w:rPr>
        <w:t>ble</w:t>
      </w:r>
      <w:r w:rsidRPr="00692968">
        <w:rPr>
          <w:rFonts w:ascii="Verdana" w:hAnsi="Verdana"/>
          <w:color w:val="183850" w:themeColor="text1"/>
          <w:sz w:val="20"/>
          <w:szCs w:val="20"/>
        </w:rPr>
        <w:t xml:space="preserve">. </w:t>
      </w:r>
    </w:p>
    <w:p w:rsidR="00B7162D" w:rsidRPr="00692968" w:rsidRDefault="009C4736" w:rsidP="00692968">
      <w:pPr>
        <w:rPr>
          <w:rFonts w:ascii="Verdana" w:hAnsi="Verdana"/>
          <w:color w:val="183850" w:themeColor="text1"/>
          <w:sz w:val="20"/>
          <w:szCs w:val="20"/>
        </w:rPr>
      </w:pPr>
      <w:hyperlink r:id="rId9" w:history="1">
        <w:r w:rsidRPr="00692968">
          <w:rPr>
            <w:rFonts w:ascii="Verdana" w:hAnsi="Verdana"/>
            <w:color w:val="183850" w:themeColor="text1"/>
            <w:sz w:val="20"/>
            <w:szCs w:val="20"/>
          </w:rPr>
          <w:t>https://www.localpensionspartnership.org.uk/what-we-do/investment-management</w:t>
        </w:r>
      </w:hyperlink>
    </w:p>
    <w:p w:rsidR="00497FA5" w:rsidRPr="00F23661" w:rsidRDefault="009C4736" w:rsidP="003B4083">
      <w:pPr>
        <w:pStyle w:val="treb"/>
        <w:numPr>
          <w:ilvl w:val="0"/>
          <w:numId w:val="0"/>
        </w:numPr>
        <w:spacing w:after="0"/>
        <w:rPr>
          <w:rFonts w:ascii="Verdana" w:hAnsi="Verdana"/>
          <w:color w:val="54BBAB" w:themeColor="text2"/>
          <w:sz w:val="20"/>
          <w:szCs w:val="20"/>
        </w:rPr>
      </w:pPr>
    </w:p>
    <w:p w:rsidR="00197BA3" w:rsidRPr="00F23661" w:rsidRDefault="009C4736" w:rsidP="008E62D7">
      <w:pPr>
        <w:pStyle w:val="treb"/>
        <w:numPr>
          <w:ilvl w:val="0"/>
          <w:numId w:val="5"/>
        </w:numPr>
        <w:spacing w:after="0"/>
        <w:ind w:left="0" w:firstLine="0"/>
        <w:rPr>
          <w:rFonts w:ascii="Verdana" w:hAnsi="Verdana"/>
          <w:color w:val="54BBAB" w:themeColor="text2"/>
          <w:sz w:val="20"/>
          <w:szCs w:val="20"/>
        </w:rPr>
      </w:pPr>
      <w:r w:rsidRPr="00F23661">
        <w:rPr>
          <w:rFonts w:ascii="Verdana" w:hAnsi="Verdana"/>
          <w:color w:val="54BBAB" w:themeColor="text2"/>
          <w:sz w:val="20"/>
          <w:szCs w:val="20"/>
        </w:rPr>
        <w:t>Engagement through Partnerships</w:t>
      </w:r>
    </w:p>
    <w:p w:rsidR="00E9007D" w:rsidRPr="00F23661" w:rsidRDefault="009C4736" w:rsidP="003B4083">
      <w:pPr>
        <w:pStyle w:val="ListParagraph"/>
        <w:autoSpaceDE w:val="0"/>
        <w:autoSpaceDN w:val="0"/>
        <w:adjustRightInd w:val="0"/>
        <w:spacing w:after="0"/>
        <w:ind w:left="0"/>
        <w:rPr>
          <w:rFonts w:ascii="Verdana" w:hAnsi="Verdana" w:cs="NimbusSanL-Regu"/>
          <w:color w:val="183850" w:themeColor="text1"/>
          <w:sz w:val="20"/>
          <w:szCs w:val="20"/>
        </w:rPr>
      </w:pPr>
    </w:p>
    <w:p w:rsidR="00626882" w:rsidRPr="00635E0B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I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regularly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participate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in collaborations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which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aim to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make progress on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commonly held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issues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by co-ordinating the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efforts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of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multiple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investors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Key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partner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s include the Local Authority Pension Fund Forum (LAPFF) the Pensions and Lifetime Savings Association (PLSA) the Principles of Responsible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Investment (PRI) the Institutional Investor Group on Climate Change (IIGCC)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LGPS Cross Pool RI Group,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and the UK Pension Fund RI Roundtable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</w:p>
    <w:p w:rsidR="008A00BF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705972" w:rsidRPr="0065777F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  <w:r w:rsidRPr="0065777F">
        <w:rPr>
          <w:rFonts w:ascii="Verdana" w:hAnsi="Verdana" w:cs="Arial"/>
          <w:b/>
          <w:bCs/>
          <w:color w:val="183850" w:themeColor="text1"/>
          <w:sz w:val="20"/>
          <w:szCs w:val="20"/>
        </w:rPr>
        <w:t>LAPFF</w:t>
      </w:r>
    </w:p>
    <w:p w:rsidR="007A6D0C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84187C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LAPFF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has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long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been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LCPF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's preferred engagement partne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84187C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T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he Forum’s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AGM and most recent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quarterly Business Meeting took place on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28 March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2018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where t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he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Fund was represented by the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Chair of the Pension Fund Committee and the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Head of Fund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</w:p>
    <w:p w:rsidR="0084187C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C63141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The AGM encompassed a ballot on proposed amendments to the LAPFF Constitution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reflecting c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hanges required to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accommodate the membership, representation and participation of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LGPS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Pools.  Results distributed after the meeting show all but one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lastRenderedPageBreak/>
        <w:t xml:space="preserve">amendment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to the constitution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was accepted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but m</w:t>
      </w:r>
      <w:r w:rsidRPr="001940CE">
        <w:rPr>
          <w:rFonts w:ascii="Verdana" w:hAnsi="Verdana" w:cs="Arial"/>
          <w:bCs/>
          <w:color w:val="183850" w:themeColor="text1"/>
          <w:sz w:val="20"/>
          <w:szCs w:val="20"/>
        </w:rPr>
        <w:t>embers voted not to allow pool representatives to chair t</w:t>
      </w:r>
      <w:r w:rsidRPr="001940CE">
        <w:rPr>
          <w:rFonts w:ascii="Verdana" w:hAnsi="Verdana" w:cs="Arial"/>
          <w:bCs/>
          <w:color w:val="183850" w:themeColor="text1"/>
          <w:sz w:val="20"/>
          <w:szCs w:val="20"/>
        </w:rPr>
        <w:t>he LAPFF Executive.</w:t>
      </w:r>
    </w:p>
    <w:p w:rsidR="00C56606" w:rsidRDefault="009C4736" w:rsidP="00C56606">
      <w:pPr>
        <w:contextualSpacing/>
        <w:rPr>
          <w:rFonts w:ascii="Verdana" w:hAnsi="Verdana"/>
          <w:sz w:val="20"/>
          <w:szCs w:val="20"/>
        </w:rPr>
      </w:pPr>
    </w:p>
    <w:p w:rsidR="00C56606" w:rsidRPr="00C56606" w:rsidRDefault="009C4736" w:rsidP="00C56606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Forum m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embers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supported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pragmatic 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>proposal that LAPFF Executive elections should be deferred until after the May local council elections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to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enable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 new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participants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 to come forward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from the widest possible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candidate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poo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l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Member funds have been asked to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consider/prepare to put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candidates forward as nominees for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both officer and elected member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roles on the Executive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. In particular there is a need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for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candidates to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replace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current 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 xml:space="preserve">councillors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on the Executive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who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did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not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re-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C56606">
        <w:rPr>
          <w:rFonts w:ascii="Verdana" w:hAnsi="Verdana" w:cs="Arial"/>
          <w:bCs/>
          <w:color w:val="183850" w:themeColor="text1"/>
          <w:sz w:val="20"/>
          <w:szCs w:val="20"/>
        </w:rPr>
        <w:t>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and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the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May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local elections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and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will step down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from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Executive at the next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AGM.</w:t>
      </w:r>
    </w:p>
    <w:p w:rsidR="00635E0B" w:rsidRPr="00635E0B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54100C" w:rsidRPr="00635E0B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LAPFF Q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1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Engagement Report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54100C" w:rsidRPr="00635E0B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LAPFF engagement programme reflects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Forum's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assessment of key priorities from across the collective equity holdings of LAPFF members.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On a quarterly basis LAPFF provide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Forum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member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with a summary of the engagement activities undertaken on their behalf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which is available from the LAPFF website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</w:p>
    <w:p w:rsidR="00E07BBF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hyperlink r:id="rId10" w:history="1">
        <w:r w:rsidRPr="00011376">
          <w:rPr>
            <w:rFonts w:ascii="Verdana" w:hAnsi="Verdana" w:cs="Arial"/>
            <w:bCs/>
            <w:color w:val="183850" w:themeColor="text1"/>
            <w:sz w:val="20"/>
            <w:szCs w:val="20"/>
          </w:rPr>
          <w:t>http://www.lapfforum.org/publications/qrtly-engagement-reports/</w:t>
        </w:r>
      </w:hyperlink>
    </w:p>
    <w:p w:rsidR="00011376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305C24" w:rsidRPr="00635E0B" w:rsidRDefault="009C4736" w:rsidP="00635E0B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Quantified across thematic topics, engagement activity by LAPFF was as follows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in Q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1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: </w:t>
      </w:r>
    </w:p>
    <w:p w:rsidR="00FF2891" w:rsidRPr="00FC021B" w:rsidRDefault="009C4736" w:rsidP="0054100C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6388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08144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6A" w:rsidRDefault="009C4736" w:rsidP="0054100C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4E5B54">
        <w:rPr>
          <w:rFonts w:ascii="Verdana" w:hAnsi="Verdana"/>
          <w:bCs/>
          <w:sz w:val="20"/>
          <w:szCs w:val="20"/>
        </w:rPr>
        <w:t>T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he c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ompanies engaged with and the topics raised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by LAPFF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in Q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1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were as follows:</w:t>
      </w:r>
    </w:p>
    <w:p w:rsidR="00125A5C" w:rsidRDefault="009C4736" w:rsidP="00011376">
      <w:pPr>
        <w:autoSpaceDE w:val="0"/>
        <w:autoSpaceDN w:val="0"/>
        <w:adjustRightInd w:val="0"/>
        <w:spacing w:after="0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125A5C" w:rsidRDefault="009C4736" w:rsidP="0054100C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072177" cy="2918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518052" name=""/>
                    <pic:cNvPicPr/>
                  </pic:nvPicPr>
                  <pic:blipFill rotWithShape="1">
                    <a:blip r:embed="rId12"/>
                    <a:srcRect t="868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77" cy="291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328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lastRenderedPageBreak/>
        <w:t>The quarterly statistics show that Climate Change continues to be the issue attracting greatest attention from LAPFF on behalf of member funds.</w:t>
      </w:r>
    </w:p>
    <w:p w:rsidR="00635E0B" w:rsidRPr="0065777F" w:rsidRDefault="009C4736" w:rsidP="00635E0B">
      <w:pPr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  <w:r w:rsidRPr="0065777F">
        <w:rPr>
          <w:rFonts w:ascii="Verdana" w:hAnsi="Verdana" w:cs="Arial"/>
          <w:b/>
          <w:bCs/>
          <w:color w:val="183850" w:themeColor="text1"/>
          <w:sz w:val="20"/>
          <w:szCs w:val="20"/>
        </w:rPr>
        <w:t>Climate Action 100+</w:t>
      </w:r>
    </w:p>
    <w:p w:rsidR="00635E0B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I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has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c</w:t>
      </w:r>
      <w:r w:rsidRPr="0065777F">
        <w:rPr>
          <w:rFonts w:ascii="Verdana" w:hAnsi="Verdana" w:cs="Arial"/>
          <w:bCs/>
          <w:color w:val="183850" w:themeColor="text1"/>
          <w:sz w:val="20"/>
          <w:szCs w:val="20"/>
        </w:rPr>
        <w:t>ommitted to participating in Climate Action 100+. This is a five-year initiative led by investors to engage with the world’s largest corporate greenhouse gas emitters to improve governance on climate change, curb emissions and strengthen climate-related fi</w:t>
      </w:r>
      <w:r w:rsidRPr="0065777F">
        <w:rPr>
          <w:rFonts w:ascii="Verdana" w:hAnsi="Verdana" w:cs="Arial"/>
          <w:bCs/>
          <w:color w:val="183850" w:themeColor="text1"/>
          <w:sz w:val="20"/>
          <w:szCs w:val="20"/>
        </w:rPr>
        <w:t>nancial disclosures.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For the UK and Europe, the initiative is being co-ordinated by the Institutional Investor Group on Climate Change and the PRI and will involve collaborative engagements which bring the resources and concerns of institutional investors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together as part of an agreed, organised and common approach.</w:t>
      </w:r>
    </w:p>
    <w:p w:rsidR="003B4639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LPP I is an investor participant and is part of an investor group due to engage collaboratively with Nestle.</w:t>
      </w:r>
    </w:p>
    <w:p w:rsidR="00B502E9" w:rsidRPr="00B502E9" w:rsidRDefault="009C4736" w:rsidP="00635E0B">
      <w:pPr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  <w:r w:rsidRPr="00B502E9">
        <w:rPr>
          <w:rFonts w:ascii="Verdana" w:hAnsi="Verdana" w:cs="Arial"/>
          <w:b/>
          <w:bCs/>
          <w:color w:val="183850" w:themeColor="text1"/>
          <w:sz w:val="20"/>
          <w:szCs w:val="20"/>
        </w:rPr>
        <w:t xml:space="preserve">Financial Reporting Council (FRC) </w:t>
      </w:r>
    </w:p>
    <w:p w:rsidR="00B502E9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The RI Manager</w:t>
      </w:r>
      <w:r w:rsidRPr="00E07BBF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met with </w:t>
      </w:r>
      <w:bookmarkStart w:id="2" w:name="_Hlk513706716"/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FRC </w:t>
      </w:r>
      <w:bookmarkEnd w:id="2"/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in early May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to discuss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both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a recent consultation on the Corporate Governance Code and a forthcoming review of the UK Stewardship Code. </w:t>
      </w:r>
    </w:p>
    <w:p w:rsidR="00DE3C60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meeting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was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between the FRC and members of the LGPS Cross Pool Responsible Investment Group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. It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reflected joint efforts to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esta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blish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a good flow of information and a supportive and informed working relationship. </w:t>
      </w:r>
    </w:p>
    <w:p w:rsidR="00DE3C60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Corporate Governance Code (CGC)</w:t>
      </w:r>
    </w:p>
    <w:p w:rsidR="00DE3C60" w:rsidRDefault="009C4736" w:rsidP="00DE3C60">
      <w:pPr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CGC </w:t>
      </w:r>
      <w:r w:rsidRPr="00DE3C60">
        <w:rPr>
          <w:rFonts w:ascii="Verdana" w:hAnsi="Verdana" w:cs="Arial"/>
          <w:bCs/>
          <w:color w:val="183850" w:themeColor="text1"/>
          <w:sz w:val="20"/>
          <w:szCs w:val="20"/>
        </w:rPr>
        <w:t>sets good practice standards for UK listed companies in relation to board leadership and effectiveness, remuneration, accountabili</w:t>
      </w:r>
      <w:r w:rsidRPr="00DE3C60">
        <w:rPr>
          <w:rFonts w:ascii="Verdana" w:hAnsi="Verdana" w:cs="Arial"/>
          <w:bCs/>
          <w:color w:val="183850" w:themeColor="text1"/>
          <w:sz w:val="20"/>
          <w:szCs w:val="20"/>
        </w:rPr>
        <w:t>ty and relations with shareholders.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Companies are required to report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DE3C60">
        <w:rPr>
          <w:rFonts w:ascii="Verdana" w:hAnsi="Verdana" w:cs="Arial"/>
          <w:bCs/>
          <w:color w:val="183850" w:themeColor="text1"/>
          <w:sz w:val="20"/>
          <w:szCs w:val="20"/>
        </w:rPr>
        <w:t xml:space="preserve">as part of their annual report and accounts, on how they have applied the main principles of the Code. They must confirm that they have complied with the Code's provisions or – where </w:t>
      </w:r>
      <w:r w:rsidRPr="00DE3C60">
        <w:rPr>
          <w:rFonts w:ascii="Verdana" w:hAnsi="Verdana" w:cs="Arial"/>
          <w:bCs/>
          <w:color w:val="183850" w:themeColor="text1"/>
          <w:sz w:val="20"/>
          <w:szCs w:val="20"/>
        </w:rPr>
        <w:t>they have not – provide an explanation.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current version of the code has been in place since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2016.</w:t>
      </w:r>
    </w:p>
    <w:p w:rsidR="00B502E9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FRC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confirmed a good response to the consultation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which closed on 28</w:t>
      </w:r>
      <w:r w:rsidRPr="00DE3C60">
        <w:rPr>
          <w:rFonts w:ascii="Verdana" w:hAnsi="Verdana" w:cs="Arial"/>
          <w:bCs/>
          <w:color w:val="18385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February 2018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(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with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231 responses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received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)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.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FRC’s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intention is for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revi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code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to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be published in July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2018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along with a feedback statement on key features of the consultation response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</w:p>
    <w:p w:rsidR="00E07BBF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Stewardship Code</w:t>
      </w:r>
    </w:p>
    <w:p w:rsidR="00837952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UK Stewardship Code 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 xml:space="preserve">sets out principles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for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 xml:space="preserve"> effective stewardship by investors. The Code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identifies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key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 xml:space="preserve"> areas of good practice to which the FRC believes institutional investors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(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>asset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>owners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,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 xml:space="preserve"> pension fund trustees </w:t>
      </w:r>
      <w:r w:rsidRPr="00837952">
        <w:rPr>
          <w:rFonts w:ascii="Verdana" w:hAnsi="Verdana" w:cs="Arial"/>
          <w:bCs/>
          <w:color w:val="183850" w:themeColor="text1"/>
          <w:sz w:val="20"/>
          <w:szCs w:val="20"/>
        </w:rPr>
        <w:t>and their fund managers) should aspire.</w:t>
      </w:r>
    </w:p>
    <w:p w:rsidR="00837952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LCPF has been reporting on compliance with the Code for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several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years and the Fund’s latest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compliance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statement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which reflects the arrangements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which have been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introduced as part of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asset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pooling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has been ranked as Tier 1 (highest) by the FRC.</w:t>
      </w:r>
    </w:p>
    <w:p w:rsidR="00E17110" w:rsidRDefault="009C4736" w:rsidP="004961E8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>C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onsultation on the CGC included some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initial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questions on the Stewardship Code in preparation for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the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full cons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ultation planned for later this year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FRC has confirmed that a feedback statement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on responses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received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to these questions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will be issued in July, a consultation on a revised Stewardship Code will be published in October 2018 and a final version of the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Stewardship Code is planned for Spring 2019.</w:t>
      </w:r>
    </w:p>
    <w:p w:rsidR="004961E8" w:rsidRPr="00B85678" w:rsidRDefault="009C4736" w:rsidP="004961E8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lastRenderedPageBreak/>
        <w:t xml:space="preserve">The FRC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welcomed the chance to speak with LGPS representatives as a group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and to share thoughts and ideas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and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encourag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engage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ment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with the consultation process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once it begins.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Participating in the consultation by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f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eed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ing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back on the proposals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will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help to shape the new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code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which will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set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best practice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standards for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investor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 (including LCPF) in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performing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their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stewardship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r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esponsibilities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going forward. </w:t>
      </w:r>
    </w:p>
    <w:p w:rsidR="00197BA3" w:rsidRPr="008103F0" w:rsidRDefault="009C4736" w:rsidP="004961E8">
      <w:pPr>
        <w:jc w:val="both"/>
        <w:rPr>
          <w:rFonts w:ascii="Verdana" w:hAnsi="Verdana" w:cs="Arial"/>
          <w:b/>
          <w:bCs/>
          <w:color w:val="54BBAB" w:themeColor="text2"/>
          <w:sz w:val="20"/>
          <w:szCs w:val="20"/>
        </w:rPr>
      </w:pPr>
      <w:r w:rsidRPr="008103F0">
        <w:rPr>
          <w:rFonts w:ascii="Verdana" w:hAnsi="Verdana" w:cs="Arial"/>
          <w:b/>
          <w:bCs/>
          <w:color w:val="54BBAB" w:themeColor="text2"/>
          <w:sz w:val="20"/>
          <w:szCs w:val="20"/>
        </w:rPr>
        <w:t>Shareholder Litigation</w:t>
      </w:r>
    </w:p>
    <w:p w:rsidR="00601570" w:rsidRPr="00635E0B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LPP I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employ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Institutional Protection Services (IPS) as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an external provider of litigation monitoring services to ensure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shareholder litigation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case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affecting securities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owned by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GEF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are known about,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claims are filed in a timely way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and progress is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monitored and follo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wed up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with Claims A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dministrators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In addition, IPS monito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r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cases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relating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to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shares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held by LCPF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in the period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before the Fund pooled its listed equity investments from November 2016. 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Litigation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can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arise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quite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some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time after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share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have been sold and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monitoring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new cases and referring back to historic holdings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records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to establish rights of ownership is an ongoing task.</w:t>
      </w:r>
    </w:p>
    <w:p w:rsidR="00EC3178" w:rsidRPr="00635E0B" w:rsidRDefault="009C4736" w:rsidP="00635E0B">
      <w:pPr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IPS provide LPP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with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m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onitoring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information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on a quarterly basis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detailing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number of cases investiga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ted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.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monitoring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report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for Q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1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201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8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confirm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s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that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of 18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potential cases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identified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where the Fund might have an entitlement to join a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class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action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,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f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urther analysis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had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discounted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10. There are 3 cases where eligibility is still being assessed and 5 where eligibility has been identified and a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claim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will be filed.</w:t>
      </w:r>
    </w:p>
    <w:p w:rsidR="00E50F74" w:rsidRPr="008103F0" w:rsidRDefault="009C4736" w:rsidP="003B4083">
      <w:pPr>
        <w:pStyle w:val="Default"/>
        <w:rPr>
          <w:rFonts w:ascii="Verdana" w:hAnsi="Verdana" w:cs="Arial"/>
          <w:b/>
          <w:bCs/>
          <w:color w:val="54BBAB" w:themeColor="text2"/>
          <w:sz w:val="20"/>
          <w:szCs w:val="20"/>
        </w:rPr>
      </w:pPr>
    </w:p>
    <w:p w:rsidR="00197BA3" w:rsidRDefault="009C4736" w:rsidP="008E62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rPr>
          <w:rFonts w:ascii="Verdana" w:hAnsi="Verdana" w:cs="Arial"/>
          <w:b/>
          <w:bCs/>
          <w:color w:val="54BBAB" w:themeColor="text2"/>
          <w:sz w:val="20"/>
          <w:szCs w:val="20"/>
        </w:rPr>
      </w:pPr>
      <w:r w:rsidRPr="008103F0">
        <w:rPr>
          <w:rFonts w:ascii="Verdana" w:hAnsi="Verdana" w:cs="Arial"/>
          <w:b/>
          <w:bCs/>
          <w:color w:val="54BBAB" w:themeColor="text2"/>
          <w:sz w:val="20"/>
          <w:szCs w:val="20"/>
        </w:rPr>
        <w:t>Active Investing</w:t>
      </w:r>
    </w:p>
    <w:p w:rsidR="00B67A56" w:rsidRPr="00DB514E" w:rsidRDefault="009C4736" w:rsidP="00DB514E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B6BBC" w:rsidRPr="00635E0B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This section of the RI report is dedicated to updating the Committee on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new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developments within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stewardship and RI and interpreting these within the context of the Fund's responsibilities and interests.</w:t>
      </w:r>
    </w:p>
    <w:p w:rsidR="001B6BBC" w:rsidRPr="00635E0B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283080" w:rsidRPr="00635E0B" w:rsidRDefault="009C4736" w:rsidP="00635E0B">
      <w:pPr>
        <w:spacing w:after="0"/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>Principles of Responsible Investment</w:t>
      </w: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 xml:space="preserve">(PRI) </w:t>
      </w: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>–</w:t>
      </w: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 xml:space="preserve"> 2018 Annual Reporting </w:t>
      </w:r>
      <w:r w:rsidRPr="00635E0B">
        <w:rPr>
          <w:rFonts w:ascii="Verdana" w:hAnsi="Verdana" w:cs="Arial"/>
          <w:b/>
          <w:bCs/>
          <w:color w:val="183850" w:themeColor="text1"/>
          <w:sz w:val="20"/>
          <w:szCs w:val="20"/>
        </w:rPr>
        <w:t>Round and LGPS Pool Membership</w:t>
      </w:r>
    </w:p>
    <w:p w:rsidR="00154B45" w:rsidRPr="00635E0B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1B3457" w:rsidRPr="00635E0B" w:rsidRDefault="009C4736" w:rsidP="001B3457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Since the Committee last met, LCPF has submitted annual reporting to the PRI on its activities in the 12 months to 31 December 2017.  </w:t>
      </w:r>
    </w:p>
    <w:p w:rsidR="001B3457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>A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 w:rsidRPr="00635E0B">
        <w:rPr>
          <w:rFonts w:ascii="Verdana" w:hAnsi="Verdana" w:cs="Arial"/>
          <w:bCs/>
          <w:color w:val="183850" w:themeColor="text1"/>
          <w:sz w:val="20"/>
          <w:szCs w:val="20"/>
        </w:rPr>
        <w:t xml:space="preserve">full copy of the submission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(in the form of a Transparency Report)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will be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publicly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available from the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PRI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website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late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 in the Summer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but in the meantime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a preliminary version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can be made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available (on request)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by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the Head of Fund. </w:t>
      </w:r>
    </w:p>
    <w:p w:rsidR="00305C24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305C24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The emphasis of detailed annual reporting has continued to become more strongly focussed on practical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stewardship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acti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vity rather than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policy and strategy.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This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makes it challeng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ing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 to report and score well when the signatory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required to report on activity is LCPF,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but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 xml:space="preserve">practical 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implement</w:t>
      </w:r>
      <w:r>
        <w:rPr>
          <w:rFonts w:ascii="Verdana" w:hAnsi="Verdana" w:cs="Arial"/>
          <w:bCs/>
          <w:color w:val="183850" w:themeColor="text1"/>
          <w:sz w:val="20"/>
          <w:szCs w:val="20"/>
        </w:rPr>
        <w:t>ation is delegated to and being undertaken by LPP.</w:t>
      </w:r>
    </w:p>
    <w:p w:rsidR="001B3457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5406D2" w:rsidRDefault="009C4736" w:rsidP="00635E0B">
      <w:pPr>
        <w:spacing w:after="0"/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  <w:r w:rsidRPr="00E17110">
        <w:rPr>
          <w:rFonts w:ascii="Verdana" w:hAnsi="Verdana" w:cs="Arial"/>
          <w:b/>
          <w:bCs/>
          <w:color w:val="183850" w:themeColor="text1"/>
          <w:sz w:val="20"/>
          <w:szCs w:val="20"/>
        </w:rPr>
        <w:t>Transition Pathway Initiative</w:t>
      </w:r>
      <w:r>
        <w:rPr>
          <w:rFonts w:ascii="Verdana" w:hAnsi="Verdana" w:cs="Arial"/>
          <w:b/>
          <w:bCs/>
          <w:color w:val="183850" w:themeColor="text1"/>
          <w:sz w:val="20"/>
          <w:szCs w:val="20"/>
        </w:rPr>
        <w:t xml:space="preserve"> (TPI)</w:t>
      </w:r>
    </w:p>
    <w:p w:rsidR="00E17110" w:rsidRDefault="009C4736" w:rsidP="00635E0B">
      <w:pPr>
        <w:spacing w:after="0"/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</w:p>
    <w:p w:rsidR="00EA6377" w:rsidRDefault="009C4736" w:rsidP="00B85678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 w:rsidRPr="003B4083">
        <w:rPr>
          <w:rFonts w:ascii="Verdana" w:hAnsi="Verdana" w:cs="Arial"/>
          <w:color w:val="183850" w:themeColor="text1"/>
          <w:sz w:val="20"/>
          <w:szCs w:val="20"/>
        </w:rPr>
        <w:t xml:space="preserve">LPP </w:t>
      </w:r>
      <w:r>
        <w:rPr>
          <w:rFonts w:ascii="Verdana" w:hAnsi="Verdana" w:cs="Arial"/>
          <w:color w:val="183850" w:themeColor="text1"/>
          <w:sz w:val="20"/>
          <w:szCs w:val="20"/>
        </w:rPr>
        <w:t>i</w:t>
      </w:r>
      <w:r w:rsidRPr="003B4083">
        <w:rPr>
          <w:rFonts w:ascii="Verdana" w:hAnsi="Verdana" w:cs="Arial"/>
          <w:color w:val="183850" w:themeColor="text1"/>
          <w:sz w:val="20"/>
          <w:szCs w:val="20"/>
        </w:rPr>
        <w:t xml:space="preserve">s a </w:t>
      </w:r>
      <w:r w:rsidRPr="003B4083">
        <w:rPr>
          <w:rFonts w:ascii="Verdana" w:hAnsi="Verdana" w:cs="Arial"/>
          <w:color w:val="183850" w:themeColor="text1"/>
          <w:sz w:val="20"/>
          <w:szCs w:val="20"/>
        </w:rPr>
        <w:t>named supporter of the TPI</w:t>
      </w:r>
      <w:r>
        <w:rPr>
          <w:rFonts w:ascii="Verdana" w:hAnsi="Verdana" w:cs="Arial"/>
          <w:color w:val="183850" w:themeColor="text1"/>
          <w:sz w:val="20"/>
          <w:szCs w:val="20"/>
        </w:rPr>
        <w:t xml:space="preserve"> which</w:t>
      </w:r>
      <w:r w:rsidRPr="003B4083">
        <w:rPr>
          <w:rFonts w:ascii="Verdana" w:hAnsi="Verdana"/>
          <w:color w:val="183850" w:themeColor="text1"/>
          <w:sz w:val="20"/>
          <w:szCs w:val="20"/>
        </w:rPr>
        <w:t xml:space="preserve"> is an asset owner-led initiative resourced by the London School of Economics and the Grantham Institute</w:t>
      </w:r>
      <w:r>
        <w:rPr>
          <w:rFonts w:ascii="Verdana" w:hAnsi="Verdana"/>
          <w:color w:val="183850" w:themeColor="text1"/>
          <w:sz w:val="20"/>
          <w:szCs w:val="20"/>
        </w:rPr>
        <w:t xml:space="preserve">. </w:t>
      </w:r>
    </w:p>
    <w:p w:rsidR="00EA6377" w:rsidRDefault="009C4736" w:rsidP="00B85678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726E6F" w:rsidRDefault="009C4736" w:rsidP="00726E6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>
        <w:rPr>
          <w:rFonts w:ascii="Verdana" w:hAnsi="Verdana"/>
          <w:color w:val="183850" w:themeColor="text1"/>
          <w:sz w:val="20"/>
          <w:szCs w:val="20"/>
        </w:rPr>
        <w:t xml:space="preserve">Through </w:t>
      </w:r>
      <w:r>
        <w:rPr>
          <w:rFonts w:ascii="Verdana" w:hAnsi="Verdana"/>
          <w:color w:val="183850" w:themeColor="text1"/>
          <w:sz w:val="20"/>
          <w:szCs w:val="20"/>
        </w:rPr>
        <w:t>an online toolkit</w:t>
      </w:r>
      <w:r>
        <w:rPr>
          <w:rFonts w:ascii="Verdana" w:hAnsi="Verdana"/>
          <w:color w:val="183850" w:themeColor="text1"/>
          <w:sz w:val="20"/>
          <w:szCs w:val="20"/>
        </w:rPr>
        <w:t xml:space="preserve">, </w:t>
      </w:r>
      <w:r w:rsidRPr="003B4083">
        <w:rPr>
          <w:rFonts w:ascii="Verdana" w:hAnsi="Verdana"/>
          <w:color w:val="183850" w:themeColor="text1"/>
          <w:sz w:val="20"/>
          <w:szCs w:val="20"/>
        </w:rPr>
        <w:t>TPI</w:t>
      </w:r>
      <w:r>
        <w:rPr>
          <w:rFonts w:ascii="Verdana" w:hAnsi="Verdana"/>
          <w:color w:val="183850" w:themeColor="text1"/>
          <w:sz w:val="20"/>
          <w:szCs w:val="20"/>
        </w:rPr>
        <w:t xml:space="preserve"> share </w:t>
      </w:r>
      <w:r>
        <w:rPr>
          <w:rFonts w:ascii="Verdana" w:hAnsi="Verdana"/>
          <w:color w:val="183850" w:themeColor="text1"/>
          <w:sz w:val="20"/>
          <w:szCs w:val="20"/>
        </w:rPr>
        <w:t xml:space="preserve">the outcome of </w:t>
      </w:r>
      <w:r>
        <w:rPr>
          <w:rFonts w:ascii="Verdana" w:hAnsi="Verdana"/>
          <w:color w:val="183850" w:themeColor="text1"/>
          <w:sz w:val="20"/>
          <w:szCs w:val="20"/>
        </w:rPr>
        <w:t>analysi</w:t>
      </w:r>
      <w:r>
        <w:rPr>
          <w:rFonts w:ascii="Verdana" w:hAnsi="Verdana"/>
          <w:color w:val="183850" w:themeColor="text1"/>
          <w:sz w:val="20"/>
          <w:szCs w:val="20"/>
        </w:rPr>
        <w:t>ng</w:t>
      </w:r>
      <w:r>
        <w:rPr>
          <w:rFonts w:ascii="Verdana" w:hAnsi="Verdana"/>
          <w:color w:val="183850" w:themeColor="text1"/>
          <w:sz w:val="20"/>
          <w:szCs w:val="20"/>
        </w:rPr>
        <w:t xml:space="preserve"> (and grading) </w:t>
      </w:r>
      <w:r>
        <w:rPr>
          <w:rFonts w:ascii="Verdana" w:hAnsi="Verdana"/>
          <w:color w:val="183850" w:themeColor="text1"/>
          <w:sz w:val="20"/>
          <w:szCs w:val="20"/>
        </w:rPr>
        <w:t xml:space="preserve">listed </w:t>
      </w:r>
      <w:r>
        <w:rPr>
          <w:rFonts w:ascii="Verdana" w:hAnsi="Verdana"/>
          <w:color w:val="183850" w:themeColor="text1"/>
          <w:sz w:val="20"/>
          <w:szCs w:val="20"/>
        </w:rPr>
        <w:t>companies</w:t>
      </w:r>
      <w:r>
        <w:rPr>
          <w:rFonts w:ascii="Verdana" w:hAnsi="Verdana"/>
          <w:color w:val="183850" w:themeColor="text1"/>
          <w:sz w:val="20"/>
          <w:szCs w:val="20"/>
        </w:rPr>
        <w:t xml:space="preserve"> </w:t>
      </w:r>
      <w:r>
        <w:rPr>
          <w:rFonts w:ascii="Verdana" w:hAnsi="Verdana"/>
          <w:color w:val="183850" w:themeColor="text1"/>
          <w:sz w:val="20"/>
          <w:szCs w:val="20"/>
        </w:rPr>
        <w:t>within a subset of most</w:t>
      </w:r>
      <w:r>
        <w:rPr>
          <w:rFonts w:ascii="Verdana" w:hAnsi="Verdana"/>
          <w:color w:val="183850" w:themeColor="text1"/>
          <w:sz w:val="20"/>
          <w:szCs w:val="20"/>
        </w:rPr>
        <w:t xml:space="preserve"> exposed sectors </w:t>
      </w:r>
      <w:r>
        <w:rPr>
          <w:rFonts w:ascii="Verdana" w:hAnsi="Verdana"/>
          <w:color w:val="183850" w:themeColor="text1"/>
          <w:sz w:val="20"/>
          <w:szCs w:val="20"/>
        </w:rPr>
        <w:t xml:space="preserve">on their preparedness for </w:t>
      </w:r>
      <w:r w:rsidRPr="00B85678">
        <w:rPr>
          <w:rFonts w:ascii="Verdana" w:hAnsi="Verdana"/>
          <w:color w:val="183850" w:themeColor="text1"/>
          <w:sz w:val="20"/>
          <w:szCs w:val="20"/>
        </w:rPr>
        <w:t>the transition to low carbon</w:t>
      </w:r>
      <w:r>
        <w:rPr>
          <w:rFonts w:ascii="Verdana" w:hAnsi="Verdana"/>
          <w:color w:val="183850" w:themeColor="text1"/>
          <w:sz w:val="20"/>
          <w:szCs w:val="20"/>
        </w:rPr>
        <w:t xml:space="preserve">. This is </w:t>
      </w:r>
      <w:r>
        <w:rPr>
          <w:rFonts w:ascii="Verdana" w:hAnsi="Verdana"/>
          <w:color w:val="183850" w:themeColor="text1"/>
          <w:sz w:val="20"/>
          <w:szCs w:val="20"/>
        </w:rPr>
        <w:t xml:space="preserve">based on </w:t>
      </w:r>
      <w:r>
        <w:rPr>
          <w:rFonts w:ascii="Verdana" w:hAnsi="Verdana"/>
          <w:color w:val="183850" w:themeColor="text1"/>
          <w:sz w:val="20"/>
          <w:szCs w:val="20"/>
        </w:rPr>
        <w:t xml:space="preserve">an </w:t>
      </w:r>
      <w:r>
        <w:rPr>
          <w:rFonts w:ascii="Verdana" w:hAnsi="Verdana"/>
          <w:color w:val="183850" w:themeColor="text1"/>
          <w:sz w:val="20"/>
          <w:szCs w:val="20"/>
        </w:rPr>
        <w:t xml:space="preserve">assessment </w:t>
      </w:r>
      <w:r>
        <w:rPr>
          <w:rFonts w:ascii="Verdana" w:hAnsi="Verdana"/>
          <w:color w:val="183850" w:themeColor="text1"/>
          <w:sz w:val="20"/>
          <w:szCs w:val="20"/>
        </w:rPr>
        <w:t>of</w:t>
      </w:r>
      <w:r>
        <w:rPr>
          <w:rFonts w:ascii="Verdana" w:hAnsi="Verdana"/>
          <w:color w:val="183850" w:themeColor="text1"/>
          <w:sz w:val="20"/>
          <w:szCs w:val="20"/>
        </w:rPr>
        <w:t xml:space="preserve"> publicly available data.  For each company within coverage</w:t>
      </w:r>
      <w:r>
        <w:rPr>
          <w:rFonts w:ascii="Verdana" w:hAnsi="Verdana"/>
          <w:color w:val="183850" w:themeColor="text1"/>
          <w:sz w:val="20"/>
          <w:szCs w:val="20"/>
        </w:rPr>
        <w:t>,</w:t>
      </w:r>
      <w:r>
        <w:rPr>
          <w:rFonts w:ascii="Verdana" w:hAnsi="Verdana"/>
          <w:color w:val="183850" w:themeColor="text1"/>
          <w:sz w:val="20"/>
          <w:szCs w:val="20"/>
        </w:rPr>
        <w:t xml:space="preserve"> the TPI toolkit provides information on</w:t>
      </w:r>
      <w:r>
        <w:rPr>
          <w:rFonts w:ascii="Verdana" w:hAnsi="Verdana"/>
          <w:color w:val="183850" w:themeColor="text1"/>
          <w:sz w:val="20"/>
          <w:szCs w:val="20"/>
        </w:rPr>
        <w:t>:</w:t>
      </w:r>
      <w:r>
        <w:rPr>
          <w:rFonts w:ascii="Verdana" w:hAnsi="Verdana"/>
          <w:color w:val="183850" w:themeColor="text1"/>
          <w:sz w:val="20"/>
          <w:szCs w:val="20"/>
        </w:rPr>
        <w:t xml:space="preserve"> </w:t>
      </w:r>
      <w:r w:rsidRPr="00B85678">
        <w:rPr>
          <w:rFonts w:ascii="Verdana" w:hAnsi="Verdana"/>
          <w:color w:val="183850" w:themeColor="text1"/>
          <w:sz w:val="20"/>
          <w:szCs w:val="20"/>
        </w:rPr>
        <w:t xml:space="preserve"> </w:t>
      </w:r>
    </w:p>
    <w:p w:rsidR="00B85678" w:rsidRPr="00726E6F" w:rsidRDefault="009C4736" w:rsidP="0093753D">
      <w:pPr>
        <w:pStyle w:val="ListParagraph"/>
        <w:numPr>
          <w:ilvl w:val="0"/>
          <w:numId w:val="35"/>
        </w:numPr>
        <w:spacing w:after="0"/>
        <w:ind w:left="284" w:hanging="284"/>
        <w:rPr>
          <w:rFonts w:ascii="Verdana" w:hAnsi="Verdana" w:cs="Arial"/>
          <w:color w:val="183850" w:themeColor="text1"/>
          <w:sz w:val="20"/>
          <w:szCs w:val="20"/>
          <w:lang w:val="en-US"/>
        </w:rPr>
      </w:pPr>
      <w:r w:rsidRPr="00726E6F">
        <w:rPr>
          <w:rFonts w:ascii="Verdana" w:hAnsi="Verdana" w:cs="Arial"/>
          <w:color w:val="183850" w:themeColor="text1"/>
          <w:sz w:val="20"/>
          <w:szCs w:val="20"/>
          <w:lang w:val="en-US"/>
        </w:rPr>
        <w:lastRenderedPageBreak/>
        <w:t xml:space="preserve">the quality of 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the </w:t>
      </w:r>
      <w:r w:rsidRPr="00726E6F">
        <w:rPr>
          <w:rFonts w:ascii="Verdana" w:hAnsi="Verdana" w:cs="Arial"/>
          <w:color w:val="183850" w:themeColor="text1"/>
          <w:sz w:val="20"/>
          <w:szCs w:val="20"/>
          <w:lang w:val="en-US"/>
        </w:rPr>
        <w:t>compan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>y’s</w:t>
      </w:r>
      <w:r w:rsidRPr="00726E6F"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 management of their greenhouse gas emissions and of risks and opportunities related to the low-carbon transition;</w:t>
      </w:r>
    </w:p>
    <w:p w:rsidR="00B85678" w:rsidRDefault="009C4736" w:rsidP="0093753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rPr>
          <w:rFonts w:ascii="Verdana" w:hAnsi="Verdana" w:cs="Arial"/>
          <w:color w:val="183850" w:themeColor="text1"/>
          <w:sz w:val="20"/>
          <w:szCs w:val="20"/>
          <w:lang w:val="en-US"/>
        </w:rPr>
      </w:pP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how 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the </w:t>
      </w: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>compan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>y</w:t>
      </w: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>’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>s</w:t>
      </w: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 future carbon performance 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(if they publish forward targets) </w:t>
      </w: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 xml:space="preserve">compare to the international targets and national pledges made </w:t>
      </w:r>
      <w:r w:rsidRPr="003B4083">
        <w:rPr>
          <w:rFonts w:ascii="Verdana" w:hAnsi="Verdana" w:cs="Arial"/>
          <w:color w:val="183850" w:themeColor="text1"/>
          <w:sz w:val="20"/>
          <w:szCs w:val="20"/>
          <w:lang w:val="en-US"/>
        </w:rPr>
        <w:t>as part of the Paris Agreement</w:t>
      </w:r>
      <w:r>
        <w:rPr>
          <w:rFonts w:ascii="Verdana" w:hAnsi="Verdana" w:cs="Arial"/>
          <w:color w:val="183850" w:themeColor="text1"/>
          <w:sz w:val="20"/>
          <w:szCs w:val="20"/>
          <w:lang w:val="en-US"/>
        </w:rPr>
        <w:t>.</w:t>
      </w:r>
    </w:p>
    <w:p w:rsidR="00EC552F" w:rsidRDefault="009C4736" w:rsidP="00EC552F">
      <w:pPr>
        <w:shd w:val="clear" w:color="auto" w:fill="FFFFFF"/>
        <w:spacing w:after="0" w:line="240" w:lineRule="auto"/>
        <w:rPr>
          <w:rFonts w:ascii="Verdana" w:hAnsi="Verdana" w:cs="Arial"/>
          <w:color w:val="183850" w:themeColor="text1"/>
          <w:sz w:val="20"/>
          <w:szCs w:val="20"/>
          <w:lang w:val="en-US"/>
        </w:rPr>
      </w:pPr>
    </w:p>
    <w:p w:rsidR="00EA6377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>
        <w:rPr>
          <w:rFonts w:ascii="Verdana" w:hAnsi="Verdana"/>
          <w:color w:val="183850" w:themeColor="text1"/>
          <w:sz w:val="20"/>
          <w:szCs w:val="20"/>
        </w:rPr>
        <w:t>The quality of a company’s management of climate change is graded on a scale from 0 to 4 as follows:</w:t>
      </w:r>
    </w:p>
    <w:p w:rsidR="00EA6377" w:rsidRPr="00B74F21" w:rsidRDefault="009C4736" w:rsidP="00EC552F">
      <w:pPr>
        <w:spacing w:after="0"/>
        <w:rPr>
          <w:rFonts w:ascii="Verdana" w:hAnsi="Verdana"/>
          <w:b/>
          <w:color w:val="183850" w:themeColor="text1"/>
          <w:sz w:val="20"/>
          <w:szCs w:val="20"/>
        </w:rPr>
      </w:pPr>
      <w:r w:rsidRPr="00B74F21">
        <w:rPr>
          <w:rFonts w:ascii="Verdana" w:hAnsi="Verdana"/>
          <w:b/>
          <w:color w:val="183850" w:themeColor="text1"/>
          <w:sz w:val="20"/>
          <w:szCs w:val="20"/>
        </w:rPr>
        <w:t>Transition Pathway Initiative – Management Quality Scoring</w:t>
      </w:r>
    </w:p>
    <w:p w:rsidR="00EA6377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EA6377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731510" cy="92191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643609" name=""/>
                    <pic:cNvPicPr/>
                  </pic:nvPicPr>
                  <pic:blipFill rotWithShape="1">
                    <a:blip r:embed="rId13"/>
                    <a:srcRect t="5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6377">
        <w:rPr>
          <w:rFonts w:ascii="Verdana" w:hAnsi="Verdana"/>
          <w:color w:val="183850" w:themeColor="text1"/>
          <w:sz w:val="20"/>
          <w:szCs w:val="20"/>
        </w:rPr>
        <w:t xml:space="preserve"> </w:t>
      </w:r>
    </w:p>
    <w:p w:rsidR="00EA6377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9E016E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 w:rsidRPr="00EA6377">
        <w:rPr>
          <w:rFonts w:ascii="Verdana" w:hAnsi="Verdana"/>
          <w:color w:val="183850" w:themeColor="text1"/>
          <w:sz w:val="20"/>
          <w:szCs w:val="20"/>
        </w:rPr>
        <w:t xml:space="preserve">The toolkit </w:t>
      </w:r>
      <w:r>
        <w:rPr>
          <w:rFonts w:ascii="Verdana" w:hAnsi="Verdana"/>
          <w:color w:val="183850" w:themeColor="text1"/>
          <w:sz w:val="20"/>
          <w:szCs w:val="20"/>
        </w:rPr>
        <w:t>provides</w:t>
      </w:r>
      <w:r>
        <w:rPr>
          <w:rFonts w:ascii="Verdana" w:hAnsi="Verdana"/>
          <w:color w:val="183850" w:themeColor="text1"/>
          <w:sz w:val="20"/>
          <w:szCs w:val="20"/>
        </w:rPr>
        <w:t xml:space="preserve"> a </w:t>
      </w:r>
      <w:r w:rsidRPr="00EA6377">
        <w:rPr>
          <w:rFonts w:ascii="Verdana" w:hAnsi="Verdana"/>
          <w:color w:val="183850" w:themeColor="text1"/>
          <w:sz w:val="20"/>
          <w:szCs w:val="20"/>
        </w:rPr>
        <w:t xml:space="preserve">helpful </w:t>
      </w:r>
      <w:r>
        <w:rPr>
          <w:rFonts w:ascii="Verdana" w:hAnsi="Verdana"/>
          <w:color w:val="183850" w:themeColor="text1"/>
          <w:sz w:val="20"/>
          <w:szCs w:val="20"/>
        </w:rPr>
        <w:t xml:space="preserve">reference point </w:t>
      </w:r>
      <w:r w:rsidRPr="00EA6377">
        <w:rPr>
          <w:rFonts w:ascii="Verdana" w:hAnsi="Verdana"/>
          <w:color w:val="183850" w:themeColor="text1"/>
          <w:sz w:val="20"/>
          <w:szCs w:val="20"/>
        </w:rPr>
        <w:t xml:space="preserve">for reviewing </w:t>
      </w:r>
      <w:r>
        <w:rPr>
          <w:rFonts w:ascii="Verdana" w:hAnsi="Verdana"/>
          <w:color w:val="183850" w:themeColor="text1"/>
          <w:sz w:val="20"/>
          <w:szCs w:val="20"/>
        </w:rPr>
        <w:t xml:space="preserve">and comparing </w:t>
      </w:r>
      <w:r w:rsidRPr="00EA6377">
        <w:rPr>
          <w:rFonts w:ascii="Verdana" w:hAnsi="Verdana"/>
          <w:color w:val="183850" w:themeColor="text1"/>
          <w:sz w:val="20"/>
          <w:szCs w:val="20"/>
        </w:rPr>
        <w:t>the preparedness of</w:t>
      </w:r>
      <w:r>
        <w:rPr>
          <w:rFonts w:ascii="Verdana" w:hAnsi="Verdana"/>
          <w:color w:val="183850" w:themeColor="text1"/>
          <w:sz w:val="20"/>
          <w:szCs w:val="20"/>
        </w:rPr>
        <w:t xml:space="preserve"> listed</w:t>
      </w:r>
      <w:r w:rsidRPr="00EA6377">
        <w:rPr>
          <w:rFonts w:ascii="Verdana" w:hAnsi="Verdana"/>
          <w:color w:val="183850" w:themeColor="text1"/>
          <w:sz w:val="20"/>
          <w:szCs w:val="20"/>
        </w:rPr>
        <w:t xml:space="preserve"> </w:t>
      </w:r>
      <w:r w:rsidRPr="003B4083">
        <w:rPr>
          <w:rFonts w:ascii="Verdana" w:hAnsi="Verdana"/>
          <w:color w:val="183850" w:themeColor="text1"/>
          <w:sz w:val="20"/>
          <w:szCs w:val="20"/>
        </w:rPr>
        <w:t xml:space="preserve">companies in high-impact sectors </w:t>
      </w:r>
      <w:r>
        <w:rPr>
          <w:rFonts w:ascii="Verdana" w:hAnsi="Verdana"/>
          <w:color w:val="183850" w:themeColor="text1"/>
          <w:sz w:val="20"/>
          <w:szCs w:val="20"/>
        </w:rPr>
        <w:t>(</w:t>
      </w:r>
      <w:r w:rsidRPr="003B4083">
        <w:rPr>
          <w:rFonts w:ascii="Verdana" w:hAnsi="Verdana"/>
          <w:color w:val="183850" w:themeColor="text1"/>
          <w:sz w:val="20"/>
          <w:szCs w:val="20"/>
        </w:rPr>
        <w:t>oil and gas, mining and electricity generation</w:t>
      </w:r>
      <w:r>
        <w:rPr>
          <w:rFonts w:ascii="Verdana" w:hAnsi="Verdana"/>
          <w:color w:val="183850" w:themeColor="text1"/>
          <w:sz w:val="20"/>
          <w:szCs w:val="20"/>
        </w:rPr>
        <w:t xml:space="preserve">, paper, steel, autos, cement) for </w:t>
      </w:r>
      <w:r>
        <w:rPr>
          <w:rFonts w:ascii="Verdana" w:hAnsi="Verdana"/>
          <w:color w:val="183850" w:themeColor="text1"/>
          <w:sz w:val="20"/>
          <w:szCs w:val="20"/>
        </w:rPr>
        <w:t xml:space="preserve">the </w:t>
      </w:r>
      <w:r>
        <w:rPr>
          <w:rFonts w:ascii="Verdana" w:hAnsi="Verdana"/>
          <w:color w:val="183850" w:themeColor="text1"/>
          <w:sz w:val="20"/>
          <w:szCs w:val="20"/>
        </w:rPr>
        <w:t xml:space="preserve">risks and opportunities posed by the global transition to lower carbon.  </w:t>
      </w:r>
    </w:p>
    <w:p w:rsidR="00EA6377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CF0B39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>
        <w:rPr>
          <w:rFonts w:ascii="Verdana" w:hAnsi="Verdana"/>
          <w:color w:val="183850" w:themeColor="text1"/>
          <w:sz w:val="20"/>
          <w:szCs w:val="20"/>
        </w:rPr>
        <w:t xml:space="preserve">The toolkit is being </w:t>
      </w:r>
      <w:r>
        <w:rPr>
          <w:rFonts w:ascii="Verdana" w:hAnsi="Verdana"/>
          <w:color w:val="183850" w:themeColor="text1"/>
          <w:sz w:val="20"/>
          <w:szCs w:val="20"/>
        </w:rPr>
        <w:t>utilised</w:t>
      </w:r>
      <w:r>
        <w:rPr>
          <w:rFonts w:ascii="Verdana" w:hAnsi="Verdana"/>
          <w:color w:val="183850" w:themeColor="text1"/>
          <w:sz w:val="20"/>
          <w:szCs w:val="20"/>
        </w:rPr>
        <w:t xml:space="preserve"> by LPP I </w:t>
      </w:r>
      <w:r>
        <w:rPr>
          <w:rFonts w:ascii="Verdana" w:hAnsi="Verdana"/>
          <w:color w:val="183850" w:themeColor="text1"/>
          <w:sz w:val="20"/>
          <w:szCs w:val="20"/>
        </w:rPr>
        <w:t>to</w:t>
      </w:r>
      <w:r>
        <w:rPr>
          <w:rFonts w:ascii="Verdana" w:hAnsi="Verdana"/>
          <w:color w:val="183850" w:themeColor="text1"/>
          <w:sz w:val="20"/>
          <w:szCs w:val="20"/>
        </w:rPr>
        <w:t xml:space="preserve"> monitor listed equity investments in the GEF in line with implementing</w:t>
      </w:r>
      <w:r>
        <w:rPr>
          <w:rFonts w:ascii="Verdana" w:hAnsi="Verdana"/>
          <w:color w:val="183850" w:themeColor="text1"/>
          <w:sz w:val="20"/>
          <w:szCs w:val="20"/>
        </w:rPr>
        <w:t xml:space="preserve"> </w:t>
      </w:r>
      <w:r>
        <w:rPr>
          <w:rFonts w:ascii="Verdana" w:hAnsi="Verdana"/>
          <w:color w:val="183850" w:themeColor="text1"/>
          <w:sz w:val="20"/>
          <w:szCs w:val="20"/>
        </w:rPr>
        <w:t>LCPF’s</w:t>
      </w:r>
      <w:r>
        <w:rPr>
          <w:rFonts w:ascii="Verdana" w:hAnsi="Verdana"/>
          <w:color w:val="183850" w:themeColor="text1"/>
          <w:sz w:val="20"/>
          <w:szCs w:val="20"/>
        </w:rPr>
        <w:t xml:space="preserve"> RI Policy </w:t>
      </w:r>
      <w:r>
        <w:rPr>
          <w:rFonts w:ascii="Verdana" w:hAnsi="Verdana"/>
          <w:color w:val="183850" w:themeColor="text1"/>
          <w:sz w:val="20"/>
          <w:szCs w:val="20"/>
        </w:rPr>
        <w:t xml:space="preserve">commitment </w:t>
      </w:r>
      <w:r>
        <w:rPr>
          <w:rFonts w:ascii="Verdana" w:hAnsi="Verdana"/>
          <w:color w:val="183850" w:themeColor="text1"/>
          <w:sz w:val="20"/>
          <w:szCs w:val="20"/>
        </w:rPr>
        <w:t xml:space="preserve">not </w:t>
      </w:r>
      <w:r>
        <w:rPr>
          <w:rFonts w:ascii="Verdana" w:hAnsi="Verdana"/>
          <w:color w:val="183850" w:themeColor="text1"/>
          <w:sz w:val="20"/>
          <w:szCs w:val="20"/>
        </w:rPr>
        <w:t xml:space="preserve">to </w:t>
      </w:r>
      <w:r>
        <w:rPr>
          <w:rFonts w:ascii="Verdana" w:hAnsi="Verdana"/>
          <w:color w:val="183850" w:themeColor="text1"/>
          <w:sz w:val="20"/>
          <w:szCs w:val="20"/>
        </w:rPr>
        <w:t xml:space="preserve">invest in </w:t>
      </w:r>
      <w:r w:rsidRPr="009E016E">
        <w:rPr>
          <w:rFonts w:ascii="Verdana" w:hAnsi="Verdana"/>
          <w:color w:val="183850" w:themeColor="text1"/>
          <w:sz w:val="20"/>
          <w:szCs w:val="20"/>
        </w:rPr>
        <w:t>fossil fuel companies directly engaged in the extraction of coal, oil and natural gas as sources o</w:t>
      </w:r>
      <w:r w:rsidRPr="009E016E">
        <w:rPr>
          <w:rFonts w:ascii="Verdana" w:hAnsi="Verdana"/>
          <w:color w:val="183850" w:themeColor="text1"/>
          <w:sz w:val="20"/>
          <w:szCs w:val="20"/>
        </w:rPr>
        <w:t>f energy which are ignoring the risks of climate change</w:t>
      </w:r>
      <w:r>
        <w:rPr>
          <w:rFonts w:ascii="Verdana" w:hAnsi="Verdana"/>
          <w:color w:val="183850" w:themeColor="text1"/>
          <w:sz w:val="20"/>
          <w:szCs w:val="20"/>
        </w:rPr>
        <w:t xml:space="preserve">, and </w:t>
      </w:r>
      <w:r>
        <w:rPr>
          <w:rFonts w:ascii="Verdana" w:hAnsi="Verdana"/>
          <w:color w:val="183850" w:themeColor="text1"/>
          <w:sz w:val="20"/>
          <w:szCs w:val="20"/>
        </w:rPr>
        <w:t xml:space="preserve">unable to demonstrate planning for </w:t>
      </w:r>
      <w:r w:rsidRPr="00EA6377">
        <w:rPr>
          <w:rFonts w:ascii="Verdana" w:hAnsi="Verdana"/>
          <w:color w:val="183850" w:themeColor="text1"/>
          <w:sz w:val="20"/>
          <w:szCs w:val="20"/>
        </w:rPr>
        <w:t>future emissions reduction targets under the Paris Agreement</w:t>
      </w:r>
      <w:r>
        <w:rPr>
          <w:rFonts w:ascii="Verdana" w:hAnsi="Verdana"/>
          <w:color w:val="183850" w:themeColor="text1"/>
          <w:sz w:val="20"/>
          <w:szCs w:val="20"/>
        </w:rPr>
        <w:t xml:space="preserve">.  </w:t>
      </w:r>
    </w:p>
    <w:p w:rsidR="00CF0B39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9E016E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>
        <w:rPr>
          <w:rFonts w:ascii="Verdana" w:hAnsi="Verdana"/>
          <w:color w:val="183850" w:themeColor="text1"/>
          <w:sz w:val="20"/>
          <w:szCs w:val="20"/>
        </w:rPr>
        <w:t xml:space="preserve">Companies in the </w:t>
      </w:r>
      <w:r>
        <w:rPr>
          <w:rFonts w:ascii="Verdana" w:hAnsi="Verdana"/>
          <w:color w:val="183850" w:themeColor="text1"/>
          <w:sz w:val="20"/>
          <w:szCs w:val="20"/>
        </w:rPr>
        <w:t>GEF</w:t>
      </w:r>
      <w:r>
        <w:rPr>
          <w:rFonts w:ascii="Verdana" w:hAnsi="Verdana"/>
          <w:color w:val="183850" w:themeColor="text1"/>
          <w:sz w:val="20"/>
          <w:szCs w:val="20"/>
        </w:rPr>
        <w:t xml:space="preserve"> within the coverage of TPI analysis are being monitored </w:t>
      </w:r>
      <w:r>
        <w:rPr>
          <w:rFonts w:ascii="Verdana" w:hAnsi="Verdana"/>
          <w:color w:val="183850" w:themeColor="text1"/>
          <w:sz w:val="20"/>
          <w:szCs w:val="20"/>
        </w:rPr>
        <w:t>on a quarterly bas</w:t>
      </w:r>
      <w:r>
        <w:rPr>
          <w:rFonts w:ascii="Verdana" w:hAnsi="Verdana"/>
          <w:color w:val="183850" w:themeColor="text1"/>
          <w:sz w:val="20"/>
          <w:szCs w:val="20"/>
        </w:rPr>
        <w:t xml:space="preserve">is. Those </w:t>
      </w:r>
      <w:r>
        <w:rPr>
          <w:rFonts w:ascii="Verdana" w:hAnsi="Verdana"/>
          <w:color w:val="183850" w:themeColor="text1"/>
          <w:sz w:val="20"/>
          <w:szCs w:val="20"/>
        </w:rPr>
        <w:t xml:space="preserve">not judged to be </w:t>
      </w:r>
      <w:r>
        <w:rPr>
          <w:rFonts w:ascii="Verdana" w:hAnsi="Verdana"/>
          <w:color w:val="183850" w:themeColor="text1"/>
          <w:sz w:val="20"/>
          <w:szCs w:val="20"/>
        </w:rPr>
        <w:t xml:space="preserve">both aware of and building capacity to manage climate change (Level 2 or above) are identified as outliers </w:t>
      </w:r>
      <w:r>
        <w:rPr>
          <w:rFonts w:ascii="Verdana" w:hAnsi="Verdana"/>
          <w:color w:val="183850" w:themeColor="text1"/>
          <w:sz w:val="20"/>
          <w:szCs w:val="20"/>
        </w:rPr>
        <w:t>and</w:t>
      </w:r>
      <w:r>
        <w:rPr>
          <w:rFonts w:ascii="Verdana" w:hAnsi="Verdana"/>
          <w:color w:val="183850" w:themeColor="text1"/>
          <w:sz w:val="20"/>
          <w:szCs w:val="20"/>
        </w:rPr>
        <w:t xml:space="preserve"> trigger a conversation with managers to establish the rationale </w:t>
      </w:r>
      <w:r>
        <w:rPr>
          <w:rFonts w:ascii="Verdana" w:hAnsi="Verdana"/>
          <w:color w:val="183850" w:themeColor="text1"/>
          <w:sz w:val="20"/>
          <w:szCs w:val="20"/>
        </w:rPr>
        <w:t xml:space="preserve">for holding stock </w:t>
      </w:r>
      <w:r>
        <w:rPr>
          <w:rFonts w:ascii="Verdana" w:hAnsi="Verdana"/>
          <w:color w:val="183850" w:themeColor="text1"/>
          <w:sz w:val="20"/>
          <w:szCs w:val="20"/>
        </w:rPr>
        <w:t xml:space="preserve">and encourage engagement </w:t>
      </w:r>
      <w:r>
        <w:rPr>
          <w:rFonts w:ascii="Verdana" w:hAnsi="Verdana"/>
          <w:color w:val="183850" w:themeColor="text1"/>
          <w:sz w:val="20"/>
          <w:szCs w:val="20"/>
        </w:rPr>
        <w:t>focussed on</w:t>
      </w:r>
      <w:r>
        <w:rPr>
          <w:rFonts w:ascii="Verdana" w:hAnsi="Verdana"/>
          <w:color w:val="183850" w:themeColor="text1"/>
          <w:sz w:val="20"/>
          <w:szCs w:val="20"/>
        </w:rPr>
        <w:t xml:space="preserve"> improvement.</w:t>
      </w:r>
    </w:p>
    <w:p w:rsidR="00EC552F" w:rsidRPr="003B4083" w:rsidRDefault="009C4736" w:rsidP="00EC552F">
      <w:pPr>
        <w:spacing w:after="0"/>
        <w:rPr>
          <w:rFonts w:ascii="Verdana" w:hAnsi="Verdana"/>
          <w:color w:val="183850" w:themeColor="text1"/>
          <w:sz w:val="20"/>
          <w:szCs w:val="20"/>
        </w:rPr>
      </w:pPr>
      <w:r w:rsidRPr="009E016E">
        <w:rPr>
          <w:rFonts w:ascii="Verdana" w:hAnsi="Verdana"/>
          <w:color w:val="183850" w:themeColor="text1"/>
          <w:sz w:val="20"/>
          <w:szCs w:val="20"/>
        </w:rPr>
        <w:t xml:space="preserve"> </w:t>
      </w:r>
    </w:p>
    <w:p w:rsidR="00EC552F" w:rsidRPr="00EC552F" w:rsidRDefault="009C4736" w:rsidP="00EC552F">
      <w:pPr>
        <w:shd w:val="clear" w:color="auto" w:fill="FFFFFF"/>
        <w:spacing w:after="0" w:line="240" w:lineRule="auto"/>
        <w:rPr>
          <w:rFonts w:ascii="Verdana" w:hAnsi="Verdana" w:cs="Arial"/>
          <w:color w:val="183850" w:themeColor="text1"/>
          <w:sz w:val="20"/>
          <w:szCs w:val="20"/>
          <w:lang w:val="en-US"/>
        </w:rPr>
      </w:pPr>
    </w:p>
    <w:p w:rsidR="00B85678" w:rsidRDefault="009C4736" w:rsidP="00B85678">
      <w:pPr>
        <w:spacing w:after="0"/>
        <w:rPr>
          <w:rFonts w:ascii="Verdana" w:hAnsi="Verdana"/>
          <w:color w:val="183850" w:themeColor="text1"/>
          <w:sz w:val="20"/>
          <w:szCs w:val="20"/>
        </w:rPr>
      </w:pPr>
    </w:p>
    <w:p w:rsidR="00B85678" w:rsidRDefault="009C4736" w:rsidP="00635E0B">
      <w:pPr>
        <w:spacing w:after="0"/>
        <w:jc w:val="both"/>
        <w:rPr>
          <w:rFonts w:ascii="Verdana" w:hAnsi="Verdana" w:cs="Arial"/>
          <w:b/>
          <w:bCs/>
          <w:color w:val="183850" w:themeColor="text1"/>
          <w:sz w:val="20"/>
          <w:szCs w:val="20"/>
        </w:rPr>
      </w:pPr>
    </w:p>
    <w:p w:rsidR="0093753D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A76259" w:rsidRPr="00635E0B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p w:rsidR="00B96CB9" w:rsidRPr="00635E0B" w:rsidRDefault="009C4736" w:rsidP="00635E0B">
      <w:pPr>
        <w:spacing w:after="0"/>
        <w:jc w:val="both"/>
        <w:rPr>
          <w:rFonts w:ascii="Verdana" w:hAnsi="Verdana" w:cs="Arial"/>
          <w:bCs/>
          <w:color w:val="183850" w:themeColor="text1"/>
          <w:sz w:val="20"/>
          <w:szCs w:val="20"/>
        </w:rPr>
      </w:pPr>
    </w:p>
    <w:sectPr w:rsidR="00B96CB9" w:rsidRPr="00635E0B" w:rsidSect="00E06AD2">
      <w:footerReference w:type="default" r:id="rId14"/>
      <w:headerReference w:type="first" r:id="rId15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4736">
      <w:pPr>
        <w:spacing w:after="0" w:line="240" w:lineRule="auto"/>
      </w:pPr>
      <w:r>
        <w:separator/>
      </w:r>
    </w:p>
  </w:endnote>
  <w:endnote w:type="continuationSeparator" w:id="0">
    <w:p w:rsidR="00000000" w:rsidRDefault="009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3BA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B9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77" w:rsidRDefault="009C4736">
    <w:pPr>
      <w:pStyle w:val="Footer"/>
    </w:pPr>
  </w:p>
  <w:p w:rsidR="00EA6377" w:rsidRDefault="009C4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4736">
      <w:pPr>
        <w:spacing w:after="0" w:line="240" w:lineRule="auto"/>
      </w:pPr>
      <w:r>
        <w:separator/>
      </w:r>
    </w:p>
  </w:footnote>
  <w:footnote w:type="continuationSeparator" w:id="0">
    <w:p w:rsidR="00000000" w:rsidRDefault="009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77" w:rsidRDefault="009C47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94615</wp:posOffset>
          </wp:positionV>
          <wp:extent cx="2152650" cy="1076325"/>
          <wp:effectExtent l="0" t="0" r="0" b="9525"/>
          <wp:wrapSquare wrapText="bothSides"/>
          <wp:docPr id="5" name="Picture 5" descr="C:\Users\sarah.vanson\AppData\Local\Microsoft\Windows\Temporary Internet Files\Content.Word\LP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607292" name="Picture 1" descr="C:\Users\sarah.vanson\AppData\Local\Microsoft\Windows\Temporary Internet Files\Content.Word\LPP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377" w:rsidRDefault="009C4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EF6"/>
    <w:multiLevelType w:val="hybridMultilevel"/>
    <w:tmpl w:val="719E545C"/>
    <w:lvl w:ilvl="0" w:tplc="4464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5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A4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A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46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8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A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E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24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A08"/>
    <w:multiLevelType w:val="multilevel"/>
    <w:tmpl w:val="9B6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3A13"/>
    <w:multiLevelType w:val="multilevel"/>
    <w:tmpl w:val="38D2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022A5"/>
    <w:multiLevelType w:val="hybridMultilevel"/>
    <w:tmpl w:val="3F180D5A"/>
    <w:lvl w:ilvl="0" w:tplc="9468D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C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85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D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C2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00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C5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4D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A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26F"/>
    <w:multiLevelType w:val="hybridMultilevel"/>
    <w:tmpl w:val="FBE2CC28"/>
    <w:lvl w:ilvl="0" w:tplc="9A36B6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7A02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738AE3C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832659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19E1A8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BA8194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F636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1C65DB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54477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444BBF"/>
    <w:multiLevelType w:val="hybridMultilevel"/>
    <w:tmpl w:val="6A84AB34"/>
    <w:lvl w:ilvl="0" w:tplc="07220EE0">
      <w:start w:val="1"/>
      <w:numFmt w:val="decimal"/>
      <w:pStyle w:val="treb"/>
      <w:lvlText w:val="%1."/>
      <w:lvlJc w:val="left"/>
      <w:pPr>
        <w:ind w:left="720" w:hanging="360"/>
      </w:pPr>
      <w:rPr>
        <w:rFonts w:hint="default"/>
      </w:rPr>
    </w:lvl>
    <w:lvl w:ilvl="1" w:tplc="F3D268C8" w:tentative="1">
      <w:start w:val="1"/>
      <w:numFmt w:val="lowerLetter"/>
      <w:lvlText w:val="%2."/>
      <w:lvlJc w:val="left"/>
      <w:pPr>
        <w:ind w:left="1440" w:hanging="360"/>
      </w:pPr>
    </w:lvl>
    <w:lvl w:ilvl="2" w:tplc="46F69CF0" w:tentative="1">
      <w:start w:val="1"/>
      <w:numFmt w:val="lowerRoman"/>
      <w:lvlText w:val="%3."/>
      <w:lvlJc w:val="right"/>
      <w:pPr>
        <w:ind w:left="2160" w:hanging="180"/>
      </w:pPr>
    </w:lvl>
    <w:lvl w:ilvl="3" w:tplc="20666ED6" w:tentative="1">
      <w:start w:val="1"/>
      <w:numFmt w:val="decimal"/>
      <w:lvlText w:val="%4."/>
      <w:lvlJc w:val="left"/>
      <w:pPr>
        <w:ind w:left="2880" w:hanging="360"/>
      </w:pPr>
    </w:lvl>
    <w:lvl w:ilvl="4" w:tplc="68E209BA" w:tentative="1">
      <w:start w:val="1"/>
      <w:numFmt w:val="lowerLetter"/>
      <w:lvlText w:val="%5."/>
      <w:lvlJc w:val="left"/>
      <w:pPr>
        <w:ind w:left="3600" w:hanging="360"/>
      </w:pPr>
    </w:lvl>
    <w:lvl w:ilvl="5" w:tplc="8734746C" w:tentative="1">
      <w:start w:val="1"/>
      <w:numFmt w:val="lowerRoman"/>
      <w:lvlText w:val="%6."/>
      <w:lvlJc w:val="right"/>
      <w:pPr>
        <w:ind w:left="4320" w:hanging="180"/>
      </w:pPr>
    </w:lvl>
    <w:lvl w:ilvl="6" w:tplc="F026A1A6" w:tentative="1">
      <w:start w:val="1"/>
      <w:numFmt w:val="decimal"/>
      <w:lvlText w:val="%7."/>
      <w:lvlJc w:val="left"/>
      <w:pPr>
        <w:ind w:left="5040" w:hanging="360"/>
      </w:pPr>
    </w:lvl>
    <w:lvl w:ilvl="7" w:tplc="00065778" w:tentative="1">
      <w:start w:val="1"/>
      <w:numFmt w:val="lowerLetter"/>
      <w:lvlText w:val="%8."/>
      <w:lvlJc w:val="left"/>
      <w:pPr>
        <w:ind w:left="5760" w:hanging="360"/>
      </w:pPr>
    </w:lvl>
    <w:lvl w:ilvl="8" w:tplc="2E025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07C1"/>
    <w:multiLevelType w:val="hybridMultilevel"/>
    <w:tmpl w:val="1C9CDDDC"/>
    <w:lvl w:ilvl="0" w:tplc="2B860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01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48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A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B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81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6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A7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16C1"/>
    <w:multiLevelType w:val="hybridMultilevel"/>
    <w:tmpl w:val="375EA10C"/>
    <w:lvl w:ilvl="0" w:tplc="08D6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C2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0E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09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8F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2A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E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D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7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CDD"/>
    <w:multiLevelType w:val="hybridMultilevel"/>
    <w:tmpl w:val="CA1AD732"/>
    <w:lvl w:ilvl="0" w:tplc="0A5CC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4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CD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0A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E3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4E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3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A8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4B6E"/>
    <w:multiLevelType w:val="hybridMultilevel"/>
    <w:tmpl w:val="14648392"/>
    <w:lvl w:ilvl="0" w:tplc="AC9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F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9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66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8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83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5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22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3190"/>
    <w:multiLevelType w:val="hybridMultilevel"/>
    <w:tmpl w:val="3834B46C"/>
    <w:lvl w:ilvl="0" w:tplc="24B2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0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2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2F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0E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C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2C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6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7C74"/>
    <w:multiLevelType w:val="hybridMultilevel"/>
    <w:tmpl w:val="E36AF4CC"/>
    <w:lvl w:ilvl="0" w:tplc="90E6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B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8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8B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64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0E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80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83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0CD"/>
    <w:multiLevelType w:val="hybridMultilevel"/>
    <w:tmpl w:val="3C144736"/>
    <w:lvl w:ilvl="0" w:tplc="7C7634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58F4171A" w:tentative="1">
      <w:start w:val="1"/>
      <w:numFmt w:val="lowerLetter"/>
      <w:lvlText w:val="%2."/>
      <w:lvlJc w:val="left"/>
      <w:pPr>
        <w:ind w:left="1440" w:hanging="360"/>
      </w:pPr>
    </w:lvl>
    <w:lvl w:ilvl="2" w:tplc="8BA4A90C" w:tentative="1">
      <w:start w:val="1"/>
      <w:numFmt w:val="lowerRoman"/>
      <w:lvlText w:val="%3."/>
      <w:lvlJc w:val="right"/>
      <w:pPr>
        <w:ind w:left="2160" w:hanging="180"/>
      </w:pPr>
    </w:lvl>
    <w:lvl w:ilvl="3" w:tplc="DB1C7C4C" w:tentative="1">
      <w:start w:val="1"/>
      <w:numFmt w:val="decimal"/>
      <w:lvlText w:val="%4."/>
      <w:lvlJc w:val="left"/>
      <w:pPr>
        <w:ind w:left="2880" w:hanging="360"/>
      </w:pPr>
    </w:lvl>
    <w:lvl w:ilvl="4" w:tplc="DC4E4498" w:tentative="1">
      <w:start w:val="1"/>
      <w:numFmt w:val="lowerLetter"/>
      <w:lvlText w:val="%5."/>
      <w:lvlJc w:val="left"/>
      <w:pPr>
        <w:ind w:left="3600" w:hanging="360"/>
      </w:pPr>
    </w:lvl>
    <w:lvl w:ilvl="5" w:tplc="C7882EDA" w:tentative="1">
      <w:start w:val="1"/>
      <w:numFmt w:val="lowerRoman"/>
      <w:lvlText w:val="%6."/>
      <w:lvlJc w:val="right"/>
      <w:pPr>
        <w:ind w:left="4320" w:hanging="180"/>
      </w:pPr>
    </w:lvl>
    <w:lvl w:ilvl="6" w:tplc="DBA02100" w:tentative="1">
      <w:start w:val="1"/>
      <w:numFmt w:val="decimal"/>
      <w:lvlText w:val="%7."/>
      <w:lvlJc w:val="left"/>
      <w:pPr>
        <w:ind w:left="5040" w:hanging="360"/>
      </w:pPr>
    </w:lvl>
    <w:lvl w:ilvl="7" w:tplc="61C42734" w:tentative="1">
      <w:start w:val="1"/>
      <w:numFmt w:val="lowerLetter"/>
      <w:lvlText w:val="%8."/>
      <w:lvlJc w:val="left"/>
      <w:pPr>
        <w:ind w:left="5760" w:hanging="360"/>
      </w:pPr>
    </w:lvl>
    <w:lvl w:ilvl="8" w:tplc="6BE48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0154"/>
    <w:multiLevelType w:val="hybridMultilevel"/>
    <w:tmpl w:val="7D7C7980"/>
    <w:lvl w:ilvl="0" w:tplc="379CA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E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8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B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A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86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E6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8D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89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5458"/>
    <w:multiLevelType w:val="hybridMultilevel"/>
    <w:tmpl w:val="B5B4520E"/>
    <w:lvl w:ilvl="0" w:tplc="ADBA4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832A654E" w:tentative="1">
      <w:start w:val="1"/>
      <w:numFmt w:val="lowerLetter"/>
      <w:lvlText w:val="%2."/>
      <w:lvlJc w:val="left"/>
      <w:pPr>
        <w:ind w:left="1440" w:hanging="360"/>
      </w:pPr>
    </w:lvl>
    <w:lvl w:ilvl="2" w:tplc="FDCE660C" w:tentative="1">
      <w:start w:val="1"/>
      <w:numFmt w:val="lowerRoman"/>
      <w:lvlText w:val="%3."/>
      <w:lvlJc w:val="right"/>
      <w:pPr>
        <w:ind w:left="2160" w:hanging="180"/>
      </w:pPr>
    </w:lvl>
    <w:lvl w:ilvl="3" w:tplc="61546DC8" w:tentative="1">
      <w:start w:val="1"/>
      <w:numFmt w:val="decimal"/>
      <w:lvlText w:val="%4."/>
      <w:lvlJc w:val="left"/>
      <w:pPr>
        <w:ind w:left="2880" w:hanging="360"/>
      </w:pPr>
    </w:lvl>
    <w:lvl w:ilvl="4" w:tplc="F468CF94" w:tentative="1">
      <w:start w:val="1"/>
      <w:numFmt w:val="lowerLetter"/>
      <w:lvlText w:val="%5."/>
      <w:lvlJc w:val="left"/>
      <w:pPr>
        <w:ind w:left="3600" w:hanging="360"/>
      </w:pPr>
    </w:lvl>
    <w:lvl w:ilvl="5" w:tplc="EED86DB2" w:tentative="1">
      <w:start w:val="1"/>
      <w:numFmt w:val="lowerRoman"/>
      <w:lvlText w:val="%6."/>
      <w:lvlJc w:val="right"/>
      <w:pPr>
        <w:ind w:left="4320" w:hanging="180"/>
      </w:pPr>
    </w:lvl>
    <w:lvl w:ilvl="6" w:tplc="9E42F5BE" w:tentative="1">
      <w:start w:val="1"/>
      <w:numFmt w:val="decimal"/>
      <w:lvlText w:val="%7."/>
      <w:lvlJc w:val="left"/>
      <w:pPr>
        <w:ind w:left="5040" w:hanging="360"/>
      </w:pPr>
    </w:lvl>
    <w:lvl w:ilvl="7" w:tplc="32463180" w:tentative="1">
      <w:start w:val="1"/>
      <w:numFmt w:val="lowerLetter"/>
      <w:lvlText w:val="%8."/>
      <w:lvlJc w:val="left"/>
      <w:pPr>
        <w:ind w:left="5760" w:hanging="360"/>
      </w:pPr>
    </w:lvl>
    <w:lvl w:ilvl="8" w:tplc="87623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013E"/>
    <w:multiLevelType w:val="hybridMultilevel"/>
    <w:tmpl w:val="E7E25118"/>
    <w:lvl w:ilvl="0" w:tplc="DAD6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5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C3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A2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CC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F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8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E3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11F78"/>
    <w:multiLevelType w:val="hybridMultilevel"/>
    <w:tmpl w:val="23F26A12"/>
    <w:lvl w:ilvl="0" w:tplc="428C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4F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05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1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C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EF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0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1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E4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7611"/>
    <w:multiLevelType w:val="hybridMultilevel"/>
    <w:tmpl w:val="CF1CDB96"/>
    <w:lvl w:ilvl="0" w:tplc="E278CA2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E10AEF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AE79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3ABB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1A4D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FCE5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944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C2C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A2D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2568C"/>
    <w:multiLevelType w:val="hybridMultilevel"/>
    <w:tmpl w:val="DE26DA44"/>
    <w:lvl w:ilvl="0" w:tplc="B6EAA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E2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20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81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C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2B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2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D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E2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D6D6A"/>
    <w:multiLevelType w:val="hybridMultilevel"/>
    <w:tmpl w:val="AFBEBDAC"/>
    <w:lvl w:ilvl="0" w:tplc="25E66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4B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4F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0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A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C8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5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0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EC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C05F1"/>
    <w:multiLevelType w:val="hybridMultilevel"/>
    <w:tmpl w:val="13060CAC"/>
    <w:lvl w:ilvl="0" w:tplc="BAFA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4D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6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0F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E9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0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86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05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1938"/>
    <w:multiLevelType w:val="hybridMultilevel"/>
    <w:tmpl w:val="734CBEF0"/>
    <w:lvl w:ilvl="0" w:tplc="28C0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0D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07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2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4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E1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47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A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6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3E73"/>
    <w:multiLevelType w:val="hybridMultilevel"/>
    <w:tmpl w:val="1564DCAE"/>
    <w:lvl w:ilvl="0" w:tplc="1046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61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08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3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2A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7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A7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0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A7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657B7"/>
    <w:multiLevelType w:val="hybridMultilevel"/>
    <w:tmpl w:val="7C146D62"/>
    <w:lvl w:ilvl="0" w:tplc="99168EC0">
      <w:start w:val="1"/>
      <w:numFmt w:val="lowerLetter"/>
      <w:lvlText w:val="%1)"/>
      <w:lvlJc w:val="left"/>
      <w:pPr>
        <w:ind w:left="720" w:hanging="360"/>
      </w:pPr>
    </w:lvl>
    <w:lvl w:ilvl="1" w:tplc="0448A986" w:tentative="1">
      <w:start w:val="1"/>
      <w:numFmt w:val="lowerLetter"/>
      <w:lvlText w:val="%2."/>
      <w:lvlJc w:val="left"/>
      <w:pPr>
        <w:ind w:left="1440" w:hanging="360"/>
      </w:pPr>
    </w:lvl>
    <w:lvl w:ilvl="2" w:tplc="1A207E0C" w:tentative="1">
      <w:start w:val="1"/>
      <w:numFmt w:val="lowerRoman"/>
      <w:lvlText w:val="%3."/>
      <w:lvlJc w:val="right"/>
      <w:pPr>
        <w:ind w:left="2160" w:hanging="180"/>
      </w:pPr>
    </w:lvl>
    <w:lvl w:ilvl="3" w:tplc="F6469172" w:tentative="1">
      <w:start w:val="1"/>
      <w:numFmt w:val="decimal"/>
      <w:lvlText w:val="%4."/>
      <w:lvlJc w:val="left"/>
      <w:pPr>
        <w:ind w:left="2880" w:hanging="360"/>
      </w:pPr>
    </w:lvl>
    <w:lvl w:ilvl="4" w:tplc="31F604DA" w:tentative="1">
      <w:start w:val="1"/>
      <w:numFmt w:val="lowerLetter"/>
      <w:lvlText w:val="%5."/>
      <w:lvlJc w:val="left"/>
      <w:pPr>
        <w:ind w:left="3600" w:hanging="360"/>
      </w:pPr>
    </w:lvl>
    <w:lvl w:ilvl="5" w:tplc="7F8CB9C6" w:tentative="1">
      <w:start w:val="1"/>
      <w:numFmt w:val="lowerRoman"/>
      <w:lvlText w:val="%6."/>
      <w:lvlJc w:val="right"/>
      <w:pPr>
        <w:ind w:left="4320" w:hanging="180"/>
      </w:pPr>
    </w:lvl>
    <w:lvl w:ilvl="6" w:tplc="5B4CC52C" w:tentative="1">
      <w:start w:val="1"/>
      <w:numFmt w:val="decimal"/>
      <w:lvlText w:val="%7."/>
      <w:lvlJc w:val="left"/>
      <w:pPr>
        <w:ind w:left="5040" w:hanging="360"/>
      </w:pPr>
    </w:lvl>
    <w:lvl w:ilvl="7" w:tplc="C6AEBC24" w:tentative="1">
      <w:start w:val="1"/>
      <w:numFmt w:val="lowerLetter"/>
      <w:lvlText w:val="%8."/>
      <w:lvlJc w:val="left"/>
      <w:pPr>
        <w:ind w:left="5760" w:hanging="360"/>
      </w:pPr>
    </w:lvl>
    <w:lvl w:ilvl="8" w:tplc="24B23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70DC"/>
    <w:multiLevelType w:val="hybridMultilevel"/>
    <w:tmpl w:val="2C76376C"/>
    <w:lvl w:ilvl="0" w:tplc="5FDCEC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26B82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2A25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3EAA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F0E6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44D9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C0D2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5C1B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7CED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200733"/>
    <w:multiLevelType w:val="multilevel"/>
    <w:tmpl w:val="2CAC45F4"/>
    <w:lvl w:ilvl="0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24"/>
        </w:tabs>
        <w:ind w:left="892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80750"/>
    <w:multiLevelType w:val="hybridMultilevel"/>
    <w:tmpl w:val="81E0DB42"/>
    <w:lvl w:ilvl="0" w:tplc="140EB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8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4E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C9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44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F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AD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067"/>
    <w:multiLevelType w:val="hybridMultilevel"/>
    <w:tmpl w:val="7D94380C"/>
    <w:lvl w:ilvl="0" w:tplc="32DC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9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4B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D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C6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66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8F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25945"/>
    <w:multiLevelType w:val="hybridMultilevel"/>
    <w:tmpl w:val="E80EE62A"/>
    <w:lvl w:ilvl="0" w:tplc="E134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A2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D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0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9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67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67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3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6B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E0571"/>
    <w:multiLevelType w:val="hybridMultilevel"/>
    <w:tmpl w:val="3FB2F578"/>
    <w:lvl w:ilvl="0" w:tplc="99FE2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4F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8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0C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8D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8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47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CB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ED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16673"/>
    <w:multiLevelType w:val="hybridMultilevel"/>
    <w:tmpl w:val="3F76F5FE"/>
    <w:lvl w:ilvl="0" w:tplc="9D4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E3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C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E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A4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C4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EC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C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E5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1127"/>
    <w:multiLevelType w:val="hybridMultilevel"/>
    <w:tmpl w:val="82928682"/>
    <w:lvl w:ilvl="0" w:tplc="82D0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9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6B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27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A6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2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8E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D0325"/>
    <w:multiLevelType w:val="hybridMultilevel"/>
    <w:tmpl w:val="8FC64BE0"/>
    <w:lvl w:ilvl="0" w:tplc="5FAE1D0A">
      <w:start w:val="1"/>
      <w:numFmt w:val="decimal"/>
      <w:lvlText w:val="%1."/>
      <w:lvlJc w:val="left"/>
      <w:pPr>
        <w:ind w:left="720" w:hanging="360"/>
      </w:pPr>
    </w:lvl>
    <w:lvl w:ilvl="1" w:tplc="72DCBCE4" w:tentative="1">
      <w:start w:val="1"/>
      <w:numFmt w:val="lowerLetter"/>
      <w:lvlText w:val="%2."/>
      <w:lvlJc w:val="left"/>
      <w:pPr>
        <w:ind w:left="1440" w:hanging="360"/>
      </w:pPr>
    </w:lvl>
    <w:lvl w:ilvl="2" w:tplc="12049C0E" w:tentative="1">
      <w:start w:val="1"/>
      <w:numFmt w:val="lowerRoman"/>
      <w:lvlText w:val="%3."/>
      <w:lvlJc w:val="right"/>
      <w:pPr>
        <w:ind w:left="2160" w:hanging="180"/>
      </w:pPr>
    </w:lvl>
    <w:lvl w:ilvl="3" w:tplc="750AA5EE" w:tentative="1">
      <w:start w:val="1"/>
      <w:numFmt w:val="decimal"/>
      <w:lvlText w:val="%4."/>
      <w:lvlJc w:val="left"/>
      <w:pPr>
        <w:ind w:left="2880" w:hanging="360"/>
      </w:pPr>
    </w:lvl>
    <w:lvl w:ilvl="4" w:tplc="4F2E032E" w:tentative="1">
      <w:start w:val="1"/>
      <w:numFmt w:val="lowerLetter"/>
      <w:lvlText w:val="%5."/>
      <w:lvlJc w:val="left"/>
      <w:pPr>
        <w:ind w:left="3600" w:hanging="360"/>
      </w:pPr>
    </w:lvl>
    <w:lvl w:ilvl="5" w:tplc="6C02FAA2" w:tentative="1">
      <w:start w:val="1"/>
      <w:numFmt w:val="lowerRoman"/>
      <w:lvlText w:val="%6."/>
      <w:lvlJc w:val="right"/>
      <w:pPr>
        <w:ind w:left="4320" w:hanging="180"/>
      </w:pPr>
    </w:lvl>
    <w:lvl w:ilvl="6" w:tplc="D19E54C4" w:tentative="1">
      <w:start w:val="1"/>
      <w:numFmt w:val="decimal"/>
      <w:lvlText w:val="%7."/>
      <w:lvlJc w:val="left"/>
      <w:pPr>
        <w:ind w:left="5040" w:hanging="360"/>
      </w:pPr>
    </w:lvl>
    <w:lvl w:ilvl="7" w:tplc="3564909A" w:tentative="1">
      <w:start w:val="1"/>
      <w:numFmt w:val="lowerLetter"/>
      <w:lvlText w:val="%8."/>
      <w:lvlJc w:val="left"/>
      <w:pPr>
        <w:ind w:left="5760" w:hanging="360"/>
      </w:pPr>
    </w:lvl>
    <w:lvl w:ilvl="8" w:tplc="F09C17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7"/>
  </w:num>
  <w:num w:numId="5">
    <w:abstractNumId w:val="32"/>
  </w:num>
  <w:num w:numId="6">
    <w:abstractNumId w:val="8"/>
  </w:num>
  <w:num w:numId="7">
    <w:abstractNumId w:val="10"/>
  </w:num>
  <w:num w:numId="8">
    <w:abstractNumId w:val="23"/>
  </w:num>
  <w:num w:numId="9">
    <w:abstractNumId w:val="13"/>
  </w:num>
  <w:num w:numId="10">
    <w:abstractNumId w:val="24"/>
  </w:num>
  <w:num w:numId="11">
    <w:abstractNumId w:val="15"/>
  </w:num>
  <w:num w:numId="12">
    <w:abstractNumId w:val="30"/>
  </w:num>
  <w:num w:numId="13">
    <w:abstractNumId w:val="29"/>
  </w:num>
  <w:num w:numId="14">
    <w:abstractNumId w:val="31"/>
  </w:num>
  <w:num w:numId="15">
    <w:abstractNumId w:val="25"/>
  </w:num>
  <w:num w:numId="16">
    <w:abstractNumId w:val="14"/>
  </w:num>
  <w:num w:numId="17">
    <w:abstractNumId w:val="22"/>
  </w:num>
  <w:num w:numId="18">
    <w:abstractNumId w:val="18"/>
  </w:num>
  <w:num w:numId="19">
    <w:abstractNumId w:val="1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12"/>
  </w:num>
  <w:num w:numId="25">
    <w:abstractNumId w:val="28"/>
  </w:num>
  <w:num w:numId="26">
    <w:abstractNumId w:val="3"/>
  </w:num>
  <w:num w:numId="27">
    <w:abstractNumId w:val="9"/>
  </w:num>
  <w:num w:numId="28">
    <w:abstractNumId w:val="16"/>
  </w:num>
  <w:num w:numId="29">
    <w:abstractNumId w:val="5"/>
  </w:num>
  <w:num w:numId="30">
    <w:abstractNumId w:val="5"/>
  </w:num>
  <w:num w:numId="31">
    <w:abstractNumId w:val="7"/>
  </w:num>
  <w:num w:numId="32">
    <w:abstractNumId w:val="20"/>
  </w:num>
  <w:num w:numId="33">
    <w:abstractNumId w:val="21"/>
  </w:num>
  <w:num w:numId="34">
    <w:abstractNumId w:val="17"/>
  </w:num>
  <w:num w:numId="35">
    <w:abstractNumId w:val="0"/>
  </w:num>
  <w:num w:numId="36">
    <w:abstractNumId w:val="26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9A"/>
    <w:rsid w:val="0015409A"/>
    <w:rsid w:val="009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647F7-190E-4793-8477-F7578AE6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18"/>
  </w:style>
  <w:style w:type="paragraph" w:styleId="Heading1">
    <w:name w:val="heading 1"/>
    <w:basedOn w:val="Normal"/>
    <w:next w:val="Normal"/>
    <w:link w:val="Heading1Char"/>
    <w:qFormat/>
    <w:rsid w:val="009C39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ADEC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C6923"/>
    <w:pPr>
      <w:keepNext/>
      <w:widowControl w:val="0"/>
      <w:spacing w:after="0" w:line="240" w:lineRule="auto"/>
      <w:outlineLvl w:val="4"/>
    </w:pPr>
    <w:rPr>
      <w:rFonts w:ascii="CG Omega" w:eastAsia="Times New Roman" w:hAnsi="CG Omeg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C7F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C6923"/>
    <w:rPr>
      <w:rFonts w:ascii="CG Omega" w:eastAsia="Times New Roman" w:hAnsi="CG Omega" w:cs="Times New Roman"/>
      <w:b/>
      <w:szCs w:val="20"/>
    </w:rPr>
  </w:style>
  <w:style w:type="character" w:customStyle="1" w:styleId="Fontsize">
    <w:name w:val="Font &amp; size"/>
    <w:basedOn w:val="DefaultParagraphFont"/>
    <w:rsid w:val="00CC6923"/>
    <w:rPr>
      <w:rFonts w:ascii="CG Omega" w:hAnsi="CG Omega"/>
      <w:sz w:val="22"/>
    </w:rPr>
  </w:style>
  <w:style w:type="paragraph" w:styleId="Title">
    <w:name w:val="Title"/>
    <w:basedOn w:val="Normal"/>
    <w:link w:val="TitleChar"/>
    <w:qFormat/>
    <w:rsid w:val="00A26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68E0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7F"/>
  </w:style>
  <w:style w:type="paragraph" w:styleId="Footer">
    <w:name w:val="footer"/>
    <w:basedOn w:val="Normal"/>
    <w:link w:val="FooterChar"/>
    <w:uiPriority w:val="99"/>
    <w:unhideWhenUsed/>
    <w:rsid w:val="0085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7F"/>
  </w:style>
  <w:style w:type="paragraph" w:styleId="BalloonText">
    <w:name w:val="Balloon Text"/>
    <w:basedOn w:val="Normal"/>
    <w:link w:val="BalloonTextChar"/>
    <w:uiPriority w:val="99"/>
    <w:semiHidden/>
    <w:unhideWhenUsed/>
    <w:rsid w:val="0085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F"/>
    <w:rPr>
      <w:rFonts w:ascii="Tahoma" w:hAnsi="Tahoma" w:cs="Tahoma"/>
      <w:sz w:val="16"/>
      <w:szCs w:val="16"/>
    </w:rPr>
  </w:style>
  <w:style w:type="character" w:customStyle="1" w:styleId="subparatext">
    <w:name w:val="subparatext"/>
    <w:basedOn w:val="DefaultParagraphFont"/>
    <w:uiPriority w:val="99"/>
    <w:rsid w:val="00320885"/>
    <w:rPr>
      <w:rFonts w:cs="Times New Roman"/>
    </w:rPr>
  </w:style>
  <w:style w:type="paragraph" w:customStyle="1" w:styleId="Default">
    <w:name w:val="Default"/>
    <w:rsid w:val="003208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39E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reb">
    <w:name w:val="treb"/>
    <w:basedOn w:val="ListParagraph"/>
    <w:link w:val="trebChar"/>
    <w:qFormat/>
    <w:rsid w:val="00E92BCB"/>
    <w:pPr>
      <w:numPr>
        <w:numId w:val="1"/>
      </w:numPr>
      <w:spacing w:after="120"/>
      <w:contextualSpacing w:val="0"/>
    </w:pPr>
    <w:rPr>
      <w:rFonts w:ascii="Trebuchet MS" w:hAnsi="Trebuchet MS" w:cs="Arial"/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E92BCB"/>
  </w:style>
  <w:style w:type="character" w:customStyle="1" w:styleId="trebChar">
    <w:name w:val="treb Char"/>
    <w:basedOn w:val="ListParagraphChar"/>
    <w:link w:val="treb"/>
    <w:rsid w:val="00E92BCB"/>
    <w:rPr>
      <w:rFonts w:ascii="Trebuchet MS" w:hAnsi="Trebuchet MS" w:cs="Arial"/>
      <w:b/>
      <w:bCs/>
    </w:rPr>
  </w:style>
  <w:style w:type="table" w:styleId="TableGrid">
    <w:name w:val="Table Grid"/>
    <w:basedOn w:val="TableNormal"/>
    <w:rsid w:val="001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BA3"/>
    <w:rPr>
      <w:color w:val="FFFF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71543"/>
    <w:pPr>
      <w:spacing w:after="120" w:line="240" w:lineRule="auto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1543"/>
    <w:rPr>
      <w:rFonts w:ascii="Palatino" w:eastAsia="Times New Roman" w:hAnsi="Palatino" w:cs="Times New Roman"/>
      <w:sz w:val="20"/>
      <w:szCs w:val="20"/>
    </w:rPr>
  </w:style>
  <w:style w:type="character" w:customStyle="1" w:styleId="st1">
    <w:name w:val="st1"/>
    <w:basedOn w:val="DefaultParagraphFont"/>
    <w:rsid w:val="007200A7"/>
  </w:style>
  <w:style w:type="character" w:customStyle="1" w:styleId="Heading4Char">
    <w:name w:val="Heading 4 Char"/>
    <w:basedOn w:val="DefaultParagraphFont"/>
    <w:link w:val="Heading4"/>
    <w:uiPriority w:val="9"/>
    <w:rsid w:val="00791E35"/>
    <w:rPr>
      <w:rFonts w:asciiTheme="majorHAnsi" w:eastAsiaTheme="majorEastAsia" w:hAnsiTheme="majorHAnsi" w:cstheme="majorBidi"/>
      <w:i/>
      <w:iCs/>
      <w:color w:val="2BADEC" w:themeColor="accent1" w:themeShade="BF"/>
    </w:rPr>
  </w:style>
  <w:style w:type="character" w:styleId="Emphasis">
    <w:name w:val="Emphasis"/>
    <w:basedOn w:val="DefaultParagraphFont"/>
    <w:uiPriority w:val="20"/>
    <w:qFormat/>
    <w:rsid w:val="00747B19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255B5"/>
    <w:rPr>
      <w:color w:val="FFFF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53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7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B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3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deakin@localpensionspartnership.org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pfforum.org/publications/qrtly-engagement-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pensionspartnership.org.uk/what-we-do/investment-manag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LPP Corporate">
      <a:dk1>
        <a:srgbClr val="183850"/>
      </a:dk1>
      <a:lt1>
        <a:sysClr val="window" lastClr="FFFFFF"/>
      </a:lt1>
      <a:dk2>
        <a:srgbClr val="54BBAB"/>
      </a:dk2>
      <a:lt2>
        <a:srgbClr val="F0F2F2"/>
      </a:lt2>
      <a:accent1>
        <a:srgbClr val="82CFF4"/>
      </a:accent1>
      <a:accent2>
        <a:srgbClr val="1C8E9D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179A-1EE5-45CA-9D83-92DCF11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Castledine, Trevor</dc:creator>
  <cp:lastModifiedBy>Neville, Mike</cp:lastModifiedBy>
  <cp:revision>4</cp:revision>
  <cp:lastPrinted>2016-04-13T08:43:00Z</cp:lastPrinted>
  <dcterms:created xsi:type="dcterms:W3CDTF">2018-05-15T10:03:00Z</dcterms:created>
  <dcterms:modified xsi:type="dcterms:W3CDTF">2018-05-24T13:25:00Z</dcterms:modified>
</cp:coreProperties>
</file>